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E443" w14:textId="7F6A9218" w:rsidR="00B0589E" w:rsidRDefault="00562B26" w:rsidP="00B0589E">
      <w:pPr>
        <w:spacing w:line="360" w:lineRule="auto"/>
        <w:jc w:val="both"/>
        <w:rPr>
          <w:rFonts w:ascii="Noto Sans" w:hAnsi="Noto Sans" w:cs="Noto Sans"/>
          <w:sz w:val="19"/>
          <w:szCs w:val="19"/>
          <w:lang w:val="es-MX"/>
        </w:rPr>
      </w:pPr>
      <w:r>
        <w:rPr>
          <w:noProof/>
        </w:rPr>
        <mc:AlternateContent>
          <mc:Choice Requires="wps">
            <w:drawing>
              <wp:anchor distT="0" distB="0" distL="114300" distR="114300" simplePos="0" relativeHeight="251657728" behindDoc="0" locked="0" layoutInCell="1" allowOverlap="1" wp14:anchorId="51227FE5" wp14:editId="7574082D">
                <wp:simplePos x="0" y="0"/>
                <wp:positionH relativeFrom="column">
                  <wp:posOffset>-356235</wp:posOffset>
                </wp:positionH>
                <wp:positionV relativeFrom="paragraph">
                  <wp:posOffset>-448310</wp:posOffset>
                </wp:positionV>
                <wp:extent cx="3784600" cy="706755"/>
                <wp:effectExtent l="0" t="0" r="0" b="0"/>
                <wp:wrapSquare wrapText="bothSides"/>
                <wp:docPr id="1374278268"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706755"/>
                        </a:xfrm>
                        <a:prstGeom prst="rect">
                          <a:avLst/>
                        </a:prstGeom>
                        <a:noFill/>
                        <a:ln>
                          <a:noFill/>
                        </a:ln>
                        <a:effectLst/>
                      </wps:spPr>
                      <wps:txbx>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3041C934"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División de Transportes y Operación</w:t>
                            </w:r>
                          </w:p>
                          <w:p w14:paraId="0459C9B1" w14:textId="2F39890F" w:rsidR="00DA1B19" w:rsidRPr="004E0D31" w:rsidRDefault="00DA1B19" w:rsidP="00330DC8">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27FE5" id="_x0000_t202" coordsize="21600,21600" o:spt="202" path="m,l,21600r21600,l21600,xe">
                <v:stroke joinstyle="miter"/>
                <v:path gradientshapeok="t" o:connecttype="rect"/>
              </v:shapetype>
              <v:shape id="Cuadro de texto 1" o:spid="_x0000_s1026" type="#_x0000_t202" style="position:absolute;left:0;text-align:left;margin-left:-28.05pt;margin-top:-35.3pt;width:298pt;height:5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" filled="f" stroked="f">
                <v:textbox inset="0,0,0,0">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3041C934"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División de Transportes y Operación</w:t>
                      </w:r>
                    </w:p>
                    <w:p w14:paraId="0459C9B1" w14:textId="2F39890F" w:rsidR="00DA1B19" w:rsidRPr="004E0D31" w:rsidRDefault="00DA1B19" w:rsidP="00330DC8">
                      <w:pPr>
                        <w:spacing w:after="40" w:line="220" w:lineRule="exact"/>
                        <w:rPr>
                          <w:rFonts w:ascii="Noto Sans" w:hAnsi="Noto Sans" w:cs="Noto Sans"/>
                          <w:sz w:val="20"/>
                          <w:szCs w:val="20"/>
                        </w:rPr>
                      </w:pPr>
                    </w:p>
                  </w:txbxContent>
                </v:textbox>
                <w10:wrap type="square"/>
              </v:shape>
            </w:pict>
          </mc:Fallback>
        </mc:AlternateContent>
      </w:r>
    </w:p>
    <w:p w14:paraId="4ABBFFBB" w14:textId="77777777" w:rsidR="00987D2D" w:rsidRDefault="00987D2D" w:rsidP="00B0589E">
      <w:pPr>
        <w:spacing w:line="360" w:lineRule="auto"/>
        <w:jc w:val="both"/>
        <w:rPr>
          <w:rFonts w:ascii="Noto Sans" w:hAnsi="Noto Sans" w:cs="Noto Sans"/>
          <w:sz w:val="19"/>
          <w:szCs w:val="19"/>
          <w:lang w:val="es-MX"/>
        </w:rPr>
      </w:pPr>
    </w:p>
    <w:p w14:paraId="4D6FD0C4" w14:textId="77777777" w:rsidR="00D8112D" w:rsidRDefault="00D8112D" w:rsidP="00987D2D">
      <w:pPr>
        <w:spacing w:before="100" w:beforeAutospacing="1" w:after="100" w:afterAutospacing="1" w:line="276" w:lineRule="auto"/>
        <w:jc w:val="center"/>
        <w:rPr>
          <w:rFonts w:ascii="Noto Sans" w:hAnsi="Noto Sans" w:cs="Noto Sans"/>
          <w:b/>
          <w:sz w:val="22"/>
          <w:szCs w:val="22"/>
        </w:rPr>
      </w:pPr>
    </w:p>
    <w:p w14:paraId="604E2607" w14:textId="13480837" w:rsidR="00987D2D" w:rsidRPr="006811B4" w:rsidRDefault="00987D2D" w:rsidP="00987D2D">
      <w:pPr>
        <w:spacing w:before="100" w:beforeAutospacing="1" w:after="100" w:afterAutospacing="1" w:line="276" w:lineRule="auto"/>
        <w:jc w:val="center"/>
        <w:rPr>
          <w:rFonts w:ascii="Noto Sans" w:hAnsi="Noto Sans" w:cs="Noto Sans"/>
          <w:b/>
          <w:sz w:val="22"/>
          <w:szCs w:val="22"/>
        </w:rPr>
      </w:pPr>
      <w:r w:rsidRPr="006811B4">
        <w:rPr>
          <w:rFonts w:ascii="Noto Sans" w:hAnsi="Noto Sans" w:cs="Noto Sans"/>
          <w:b/>
          <w:sz w:val="22"/>
          <w:szCs w:val="22"/>
        </w:rPr>
        <w:t>ANEXO TÉCNICO</w:t>
      </w:r>
    </w:p>
    <w:p w14:paraId="3115C29F" w14:textId="3BE5C82E" w:rsidR="00987D2D" w:rsidRPr="006811B4" w:rsidRDefault="00987D2D" w:rsidP="00987D2D">
      <w:pPr>
        <w:spacing w:before="100" w:beforeAutospacing="1" w:after="100" w:afterAutospacing="1" w:line="276" w:lineRule="auto"/>
        <w:jc w:val="center"/>
        <w:rPr>
          <w:rFonts w:ascii="Noto Sans" w:hAnsi="Noto Sans" w:cs="Noto Sans"/>
          <w:b/>
          <w:sz w:val="22"/>
          <w:szCs w:val="22"/>
        </w:rPr>
      </w:pPr>
      <w:r w:rsidRPr="006811B4">
        <w:rPr>
          <w:rFonts w:ascii="Noto Sans" w:hAnsi="Noto Sans" w:cs="Noto Sans"/>
          <w:b/>
          <w:sz w:val="22"/>
          <w:szCs w:val="22"/>
        </w:rPr>
        <w:t>“ARRENDAMIENTO DE VEHÍCULOS DE CARGA PARA ÓRGANOS DE OPERACIÓN ADMINISTRATIVA DESCONCENTRADA</w:t>
      </w:r>
      <w:r w:rsidR="00C2103A">
        <w:rPr>
          <w:rFonts w:ascii="Noto Sans" w:hAnsi="Noto Sans" w:cs="Noto Sans"/>
          <w:b/>
          <w:sz w:val="22"/>
          <w:szCs w:val="22"/>
        </w:rPr>
        <w:t xml:space="preserve"> Y NIVE</w:t>
      </w:r>
      <w:r w:rsidR="005774F4">
        <w:rPr>
          <w:rFonts w:ascii="Noto Sans" w:hAnsi="Noto Sans" w:cs="Noto Sans"/>
          <w:b/>
          <w:sz w:val="22"/>
          <w:szCs w:val="22"/>
        </w:rPr>
        <w:t>L</w:t>
      </w:r>
      <w:r w:rsidR="00C2103A">
        <w:rPr>
          <w:rFonts w:ascii="Noto Sans" w:hAnsi="Noto Sans" w:cs="Noto Sans"/>
          <w:b/>
          <w:sz w:val="22"/>
          <w:szCs w:val="22"/>
        </w:rPr>
        <w:t xml:space="preserve"> CENTRAL</w:t>
      </w:r>
      <w:r w:rsidRPr="006811B4">
        <w:rPr>
          <w:rFonts w:ascii="Noto Sans" w:hAnsi="Noto Sans" w:cs="Noto Sans"/>
          <w:b/>
          <w:sz w:val="22"/>
          <w:szCs w:val="22"/>
        </w:rPr>
        <w:t>”</w:t>
      </w:r>
    </w:p>
    <w:p w14:paraId="2AD80CB4" w14:textId="77777777" w:rsidR="00987D2D" w:rsidRPr="006811B4" w:rsidRDefault="00987D2D" w:rsidP="00987D2D">
      <w:pPr>
        <w:spacing w:before="100" w:beforeAutospacing="1" w:after="100" w:afterAutospacing="1" w:line="276" w:lineRule="auto"/>
        <w:jc w:val="both"/>
        <w:rPr>
          <w:rFonts w:ascii="Noto Sans" w:hAnsi="Noto Sans" w:cs="Noto Sans"/>
          <w:sz w:val="22"/>
          <w:szCs w:val="22"/>
        </w:rPr>
      </w:pPr>
      <w:r w:rsidRPr="006811B4">
        <w:rPr>
          <w:rFonts w:ascii="Noto Sans" w:hAnsi="Noto Sans" w:cs="Noto Sans"/>
          <w:sz w:val="22"/>
          <w:szCs w:val="22"/>
        </w:rPr>
        <w:t>De conformidad al numeral 4.24.3 de las Políticas, Bases y Lineamientos en Materia de Adquisiciones, Arrendamientos y Servicios del Instituto Mexicano del Seguro Social (POBALINES).</w:t>
      </w:r>
    </w:p>
    <w:p w14:paraId="3D6C1F0C" w14:textId="77777777" w:rsidR="00987D2D" w:rsidRPr="006811B4" w:rsidRDefault="00987D2D" w:rsidP="00987D2D">
      <w:pPr>
        <w:spacing w:before="100" w:beforeAutospacing="1" w:after="100" w:afterAutospacing="1" w:line="276" w:lineRule="auto"/>
        <w:jc w:val="both"/>
        <w:rPr>
          <w:rFonts w:ascii="Noto Sans" w:hAnsi="Noto Sans" w:cs="Noto Sans"/>
          <w:b/>
          <w:sz w:val="22"/>
          <w:szCs w:val="22"/>
        </w:rPr>
      </w:pPr>
      <w:r w:rsidRPr="006811B4">
        <w:rPr>
          <w:rFonts w:ascii="Noto Sans" w:hAnsi="Noto Sans" w:cs="Noto Sans"/>
          <w:b/>
          <w:sz w:val="22"/>
          <w:szCs w:val="22"/>
        </w:rPr>
        <w:t>a)   Descripción amplia y detallada de los bienes a arrendar solicitados, características, especificaciones técnicas, unidad de medida, y en su caso equipos, consumibles y accesorios asociados a la contratación de los bienes requeridos, cantidades por partida, indicando en todos los casos las correspondientes claves SAI, PREI Millenium (en caso de bienes terapéuticos se debe indicar las claves del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w:t>
      </w:r>
    </w:p>
    <w:p w14:paraId="77EFD809" w14:textId="77777777" w:rsidR="00987D2D" w:rsidRPr="006811B4" w:rsidRDefault="00987D2D" w:rsidP="00987D2D">
      <w:pPr>
        <w:spacing w:before="100" w:beforeAutospacing="1" w:after="100" w:afterAutospacing="1" w:line="276" w:lineRule="auto"/>
        <w:jc w:val="both"/>
        <w:rPr>
          <w:rFonts w:ascii="Noto Sans" w:hAnsi="Noto Sans" w:cs="Noto Sans"/>
          <w:b/>
          <w:sz w:val="22"/>
          <w:szCs w:val="22"/>
        </w:rPr>
      </w:pPr>
      <w:r w:rsidRPr="006811B4">
        <w:rPr>
          <w:rFonts w:ascii="Noto Sans" w:hAnsi="Noto Sans" w:cs="Noto Sans"/>
          <w:b/>
          <w:sz w:val="22"/>
          <w:szCs w:val="22"/>
        </w:rPr>
        <w:t>Descripción del Arrendamiento.</w:t>
      </w:r>
    </w:p>
    <w:p w14:paraId="473FD8D1" w14:textId="4004CD62" w:rsidR="00987D2D" w:rsidRDefault="00987D2D" w:rsidP="00987D2D">
      <w:pPr>
        <w:tabs>
          <w:tab w:val="left" w:pos="567"/>
        </w:tabs>
        <w:spacing w:before="100" w:beforeAutospacing="1" w:after="100" w:afterAutospacing="1" w:line="276" w:lineRule="auto"/>
        <w:jc w:val="both"/>
        <w:rPr>
          <w:rFonts w:ascii="Noto Sans" w:hAnsi="Noto Sans" w:cs="Noto Sans"/>
          <w:sz w:val="22"/>
          <w:szCs w:val="22"/>
        </w:rPr>
      </w:pPr>
      <w:r w:rsidRPr="006811B4">
        <w:rPr>
          <w:rFonts w:ascii="Noto Sans" w:eastAsia="Calibri" w:hAnsi="Noto Sans" w:cs="Noto Sans"/>
          <w:sz w:val="22"/>
          <w:szCs w:val="22"/>
          <w:lang w:val="es-MX"/>
        </w:rPr>
        <w:t xml:space="preserve">El procedimiento de contratación para </w:t>
      </w:r>
      <w:r w:rsidR="00D8112D" w:rsidRPr="006811B4">
        <w:rPr>
          <w:rFonts w:ascii="Noto Sans" w:eastAsia="Calibri" w:hAnsi="Noto Sans" w:cs="Noto Sans"/>
          <w:sz w:val="22"/>
          <w:szCs w:val="22"/>
          <w:lang w:val="es-MX"/>
        </w:rPr>
        <w:t>el “</w:t>
      </w:r>
      <w:r w:rsidRPr="006811B4">
        <w:rPr>
          <w:rFonts w:ascii="Noto Sans" w:eastAsia="Calibri" w:hAnsi="Noto Sans" w:cs="Noto Sans"/>
          <w:sz w:val="22"/>
          <w:szCs w:val="22"/>
          <w:lang w:val="es-MX"/>
        </w:rPr>
        <w:t xml:space="preserve">Arrendamiento de Vehículos de Carga </w:t>
      </w:r>
      <w:r w:rsidR="00D8112D" w:rsidRPr="006811B4">
        <w:rPr>
          <w:rFonts w:ascii="Noto Sans" w:eastAsia="Calibri" w:hAnsi="Noto Sans" w:cs="Noto Sans"/>
          <w:sz w:val="22"/>
          <w:szCs w:val="22"/>
          <w:lang w:val="es-MX"/>
        </w:rPr>
        <w:t>para Órganos</w:t>
      </w:r>
      <w:r w:rsidRPr="006811B4">
        <w:rPr>
          <w:rFonts w:ascii="Noto Sans" w:eastAsia="Calibri" w:hAnsi="Noto Sans" w:cs="Noto Sans"/>
          <w:sz w:val="22"/>
          <w:szCs w:val="22"/>
          <w:lang w:val="es-MX"/>
        </w:rPr>
        <w:t xml:space="preserve"> de Operación Administrativa Desconcentrada”</w:t>
      </w:r>
      <w:r w:rsidRPr="006811B4">
        <w:rPr>
          <w:rFonts w:ascii="Noto Sans" w:hAnsi="Noto Sans" w:cs="Noto Sans"/>
          <w:sz w:val="22"/>
          <w:szCs w:val="22"/>
        </w:rPr>
        <w:t>, consiste en el otorgamiento por parte del Proveedor que resulte adjudicado, del uso temporal en territorio nacional de vehículos terrestres (</w:t>
      </w:r>
      <w:r w:rsidR="00A815F9" w:rsidRPr="006811B4">
        <w:rPr>
          <w:rFonts w:ascii="Noto Sans" w:hAnsi="Noto Sans" w:cs="Noto Sans"/>
          <w:sz w:val="22"/>
          <w:szCs w:val="22"/>
        </w:rPr>
        <w:t>seminuevos</w:t>
      </w:r>
      <w:r w:rsidRPr="006811B4">
        <w:rPr>
          <w:rFonts w:ascii="Noto Sans" w:hAnsi="Noto Sans" w:cs="Noto Sans"/>
          <w:sz w:val="22"/>
          <w:szCs w:val="22"/>
        </w:rPr>
        <w:t>) conforme a los alcances, características y especificaciones técnicas requeridas por el Instituto, modelos 202</w:t>
      </w:r>
      <w:r w:rsidR="00D8112D">
        <w:rPr>
          <w:rFonts w:ascii="Noto Sans" w:hAnsi="Noto Sans" w:cs="Noto Sans"/>
          <w:sz w:val="22"/>
          <w:szCs w:val="22"/>
        </w:rPr>
        <w:t>0</w:t>
      </w:r>
      <w:r w:rsidRPr="006811B4">
        <w:rPr>
          <w:rFonts w:ascii="Noto Sans" w:hAnsi="Noto Sans" w:cs="Noto Sans"/>
          <w:sz w:val="22"/>
          <w:szCs w:val="22"/>
        </w:rPr>
        <w:t xml:space="preserve"> a la fecha y encontrarse disponibles en el mercado.</w:t>
      </w:r>
    </w:p>
    <w:p w14:paraId="4594AF6C" w14:textId="77777777" w:rsidR="00D8112D" w:rsidRPr="006811B4" w:rsidRDefault="00D8112D" w:rsidP="00987D2D">
      <w:pPr>
        <w:tabs>
          <w:tab w:val="left" w:pos="567"/>
        </w:tabs>
        <w:spacing w:before="100" w:beforeAutospacing="1" w:after="100" w:afterAutospacing="1" w:line="276" w:lineRule="auto"/>
        <w:jc w:val="both"/>
        <w:rPr>
          <w:rFonts w:ascii="Noto Sans" w:hAnsi="Noto Sans" w:cs="Noto Sans"/>
          <w:sz w:val="22"/>
          <w:szCs w:val="22"/>
        </w:rPr>
      </w:pPr>
    </w:p>
    <w:p w14:paraId="776D9407" w14:textId="77777777" w:rsidR="00987D2D" w:rsidRPr="006811B4" w:rsidRDefault="00987D2D" w:rsidP="00987D2D">
      <w:pPr>
        <w:tabs>
          <w:tab w:val="left" w:pos="340"/>
          <w:tab w:val="left" w:pos="612"/>
        </w:tabs>
        <w:spacing w:line="276" w:lineRule="auto"/>
        <w:ind w:right="48"/>
        <w:jc w:val="both"/>
        <w:rPr>
          <w:rFonts w:ascii="Noto Sans" w:eastAsia="Calibri" w:hAnsi="Noto Sans" w:cs="Noto Sans"/>
          <w:sz w:val="22"/>
          <w:szCs w:val="22"/>
          <w:lang w:val="es-MX"/>
        </w:rPr>
      </w:pPr>
      <w:r w:rsidRPr="006811B4">
        <w:rPr>
          <w:rFonts w:ascii="Noto Sans" w:eastAsia="Calibri" w:hAnsi="Noto Sans" w:cs="Noto Sans"/>
          <w:sz w:val="22"/>
          <w:szCs w:val="22"/>
        </w:rPr>
        <w:lastRenderedPageBreak/>
        <w:t>El Arrendamiento</w:t>
      </w:r>
      <w:r w:rsidRPr="006811B4">
        <w:rPr>
          <w:rFonts w:ascii="Noto Sans" w:eastAsia="Calibri" w:hAnsi="Noto Sans" w:cs="Noto Sans"/>
          <w:sz w:val="22"/>
          <w:szCs w:val="22"/>
          <w:lang w:val="es-MX"/>
        </w:rPr>
        <w:t xml:space="preserve"> de Vehículos de Carga, se sustenta en los objetivos que tiene el Instituto Mexicano del Seguro Social como es la de garantizar el derecho a la salud, la asistencia médica, la protección de los medios de subsistencia y los servicios sociales, ello se logra a través de la operación, seguimiento y control de los programas que se tienen con cobertura nacional, y en este caso, los vehículos que se pretende contratar son la herramienta o canal que permite al Instituto la consecución de dichos objetivos, como lo es el traslado y distribución de los bienes de uso terapéutico y no terapéutico, citando de ejemplo, los medicamentos, material de curación, equipo médico, material radiológico, material de laboratorio, material de aseo, camas hospitalarias, mobiliario, equipo de oficina, ropa hospitalaria, etc., en los Almacenes Delegacionales, Unidades Médicas de Alta Especialidad, Almacén de Programas Especiales y Red Fría (Almacén Central) del Instituto Mexicano del Seguro Social, destacando que algunas de las  antedichas áreas administrativas tienen como mandato de ley, prestar a través de sus instalaciones médicas, servicios de atención médica, con lo cual se garantiza el derecho humano de acceso a la salud, así como el que de manera preventiva y activa se pueda cubrir  las  necesidades  emergentes,  es  necesario  realizar  la  contratación  del “Arrendamiento de Vehículos de Carga para Órganos de Operación Administrativa Desconcentrada”, con cobertura nacional y disponibilidad de 24 horas, para que se disponga de una manera sencilla, flexible y expedita, el traslado y distribución a Nivel Nacional de bienes de uso terapéutico y no terapéutico.</w:t>
      </w:r>
    </w:p>
    <w:p w14:paraId="41D4C309" w14:textId="77777777" w:rsidR="00987D2D" w:rsidRPr="006811B4" w:rsidRDefault="00987D2D" w:rsidP="00987D2D">
      <w:pPr>
        <w:tabs>
          <w:tab w:val="left" w:pos="340"/>
          <w:tab w:val="left" w:pos="612"/>
        </w:tabs>
        <w:spacing w:line="276" w:lineRule="auto"/>
        <w:ind w:right="48"/>
        <w:jc w:val="both"/>
        <w:rPr>
          <w:rFonts w:ascii="Noto Sans" w:eastAsia="Calibri" w:hAnsi="Noto Sans" w:cs="Noto Sans"/>
          <w:sz w:val="22"/>
          <w:szCs w:val="22"/>
          <w:lang w:val="es-MX"/>
        </w:rPr>
      </w:pPr>
    </w:p>
    <w:p w14:paraId="084A323A" w14:textId="77777777" w:rsidR="00987D2D" w:rsidRPr="006811B4" w:rsidRDefault="00987D2D" w:rsidP="00987D2D">
      <w:pPr>
        <w:tabs>
          <w:tab w:val="left" w:pos="340"/>
          <w:tab w:val="left" w:pos="612"/>
        </w:tabs>
        <w:spacing w:line="276" w:lineRule="auto"/>
        <w:ind w:right="48"/>
        <w:jc w:val="both"/>
        <w:rPr>
          <w:rFonts w:ascii="Noto Sans" w:eastAsia="Times New Roman" w:hAnsi="Noto Sans" w:cs="Noto Sans"/>
          <w:sz w:val="22"/>
          <w:szCs w:val="22"/>
          <w:lang w:val="es-ES_tradnl"/>
        </w:rPr>
      </w:pPr>
      <w:r w:rsidRPr="006811B4">
        <w:rPr>
          <w:rFonts w:ascii="Noto Sans" w:eastAsia="Calibri" w:hAnsi="Noto Sans" w:cs="Noto Sans"/>
          <w:sz w:val="22"/>
          <w:szCs w:val="22"/>
          <w:lang w:val="es-MX"/>
        </w:rPr>
        <w:t xml:space="preserve">El procedimiento para el traslado de estos bienes se realiza en primera instancia a través de las Unidades de Almacenamiento del Instituto Mexicano del Seguro Social, que son las áreas donde se reciben, </w:t>
      </w:r>
      <w:r w:rsidRPr="006811B4">
        <w:rPr>
          <w:rFonts w:ascii="Noto Sans" w:hAnsi="Noto Sans" w:cs="Noto Sans"/>
          <w:sz w:val="22"/>
          <w:szCs w:val="22"/>
        </w:rPr>
        <w:t>vigilan, custodian, guardan, controlan y suministran bienes de consumo e inversión, dentro de la circunscripción administrativa que le corresponda, para regular las existencias y la expedición de altas por la recepción de los mismos. Para los efectos en el IMSS, estos son definidos de la siguiente manera:</w:t>
      </w:r>
    </w:p>
    <w:p w14:paraId="21759F1B" w14:textId="77777777" w:rsidR="00987D2D" w:rsidRPr="006811B4" w:rsidRDefault="00987D2D" w:rsidP="00987D2D">
      <w:pPr>
        <w:tabs>
          <w:tab w:val="left" w:pos="340"/>
          <w:tab w:val="left" w:pos="612"/>
        </w:tabs>
        <w:spacing w:line="276" w:lineRule="auto"/>
        <w:ind w:right="48"/>
        <w:jc w:val="both"/>
        <w:rPr>
          <w:rFonts w:ascii="Noto Sans" w:hAnsi="Noto Sans" w:cs="Noto Sans"/>
          <w:sz w:val="22"/>
          <w:szCs w:val="22"/>
        </w:rPr>
      </w:pPr>
    </w:p>
    <w:p w14:paraId="3865A5F3" w14:textId="77777777" w:rsidR="00987D2D" w:rsidRDefault="00987D2D" w:rsidP="00987D2D">
      <w:pPr>
        <w:tabs>
          <w:tab w:val="left" w:pos="340"/>
          <w:tab w:val="left" w:pos="612"/>
        </w:tabs>
        <w:spacing w:line="276" w:lineRule="auto"/>
        <w:ind w:right="48"/>
        <w:jc w:val="both"/>
        <w:rPr>
          <w:rFonts w:ascii="Noto Sans" w:hAnsi="Noto Sans" w:cs="Noto Sans"/>
          <w:sz w:val="22"/>
          <w:szCs w:val="22"/>
        </w:rPr>
      </w:pPr>
      <w:r w:rsidRPr="006811B4">
        <w:rPr>
          <w:rFonts w:ascii="Noto Sans" w:hAnsi="Noto Sans" w:cs="Noto Sans"/>
          <w:sz w:val="22"/>
          <w:szCs w:val="22"/>
        </w:rPr>
        <w:sym w:font="Symbol" w:char="F0B7"/>
      </w:r>
      <w:r w:rsidRPr="006811B4">
        <w:rPr>
          <w:rFonts w:ascii="Noto Sans" w:hAnsi="Noto Sans" w:cs="Noto Sans"/>
          <w:sz w:val="22"/>
          <w:szCs w:val="22"/>
        </w:rPr>
        <w:t xml:space="preserve"> Almacén de Programas Especiales y Red Fría, dependiente de la Coordinación de Control de Abasto, son catalogados como Almacén Central, y es aquí donde se realiza la distribución a las siguientes áreas:</w:t>
      </w:r>
    </w:p>
    <w:p w14:paraId="3961536A" w14:textId="77777777" w:rsidR="00D8112D" w:rsidRPr="006811B4" w:rsidRDefault="00D8112D" w:rsidP="00987D2D">
      <w:pPr>
        <w:tabs>
          <w:tab w:val="left" w:pos="340"/>
          <w:tab w:val="left" w:pos="612"/>
        </w:tabs>
        <w:spacing w:line="276" w:lineRule="auto"/>
        <w:ind w:right="48"/>
        <w:jc w:val="both"/>
        <w:rPr>
          <w:rFonts w:ascii="Noto Sans" w:hAnsi="Noto Sans" w:cs="Noto Sans"/>
          <w:sz w:val="22"/>
          <w:szCs w:val="22"/>
        </w:rPr>
      </w:pPr>
    </w:p>
    <w:p w14:paraId="2E9C3EA2" w14:textId="77777777" w:rsidR="00987D2D" w:rsidRPr="006811B4" w:rsidRDefault="00987D2D" w:rsidP="00987D2D">
      <w:pPr>
        <w:tabs>
          <w:tab w:val="left" w:pos="340"/>
          <w:tab w:val="left" w:pos="612"/>
        </w:tabs>
        <w:spacing w:line="276" w:lineRule="auto"/>
        <w:ind w:right="48"/>
        <w:jc w:val="both"/>
        <w:rPr>
          <w:rFonts w:ascii="Noto Sans" w:hAnsi="Noto Sans" w:cs="Noto Sans"/>
          <w:sz w:val="22"/>
          <w:szCs w:val="22"/>
        </w:rPr>
      </w:pPr>
    </w:p>
    <w:p w14:paraId="3B1BA126" w14:textId="77777777" w:rsidR="00987D2D" w:rsidRPr="006811B4" w:rsidRDefault="00987D2D" w:rsidP="00987D2D">
      <w:pPr>
        <w:tabs>
          <w:tab w:val="left" w:pos="340"/>
          <w:tab w:val="left" w:pos="612"/>
        </w:tabs>
        <w:spacing w:line="276" w:lineRule="auto"/>
        <w:ind w:left="340" w:right="48"/>
        <w:jc w:val="both"/>
        <w:rPr>
          <w:rFonts w:ascii="Noto Sans" w:hAnsi="Noto Sans" w:cs="Noto Sans"/>
          <w:sz w:val="22"/>
          <w:szCs w:val="22"/>
        </w:rPr>
      </w:pPr>
      <w:r w:rsidRPr="006811B4">
        <w:rPr>
          <w:rFonts w:ascii="Noto Sans" w:hAnsi="Noto Sans" w:cs="Noto Sans"/>
          <w:sz w:val="22"/>
          <w:szCs w:val="22"/>
        </w:rPr>
        <w:lastRenderedPageBreak/>
        <w:sym w:font="Symbol" w:char="F0B7"/>
      </w:r>
      <w:r w:rsidRPr="006811B4">
        <w:rPr>
          <w:rFonts w:ascii="Noto Sans" w:hAnsi="Noto Sans" w:cs="Noto Sans"/>
          <w:sz w:val="22"/>
          <w:szCs w:val="22"/>
        </w:rPr>
        <w:t xml:space="preserve"> Almacén delegacional, dependiente de los Órganos de Operación Administrativa Desconcentrada. </w:t>
      </w:r>
    </w:p>
    <w:p w14:paraId="2E01EF8B" w14:textId="77777777" w:rsidR="00987D2D" w:rsidRPr="006811B4" w:rsidRDefault="00987D2D" w:rsidP="00987D2D">
      <w:pPr>
        <w:tabs>
          <w:tab w:val="left" w:pos="340"/>
          <w:tab w:val="left" w:pos="612"/>
        </w:tabs>
        <w:spacing w:line="276" w:lineRule="auto"/>
        <w:ind w:left="340" w:right="48"/>
        <w:jc w:val="both"/>
        <w:rPr>
          <w:rFonts w:ascii="Noto Sans" w:hAnsi="Noto Sans" w:cs="Noto Sans"/>
          <w:sz w:val="22"/>
          <w:szCs w:val="22"/>
        </w:rPr>
      </w:pPr>
    </w:p>
    <w:p w14:paraId="1B4F7EF1" w14:textId="77777777" w:rsidR="00987D2D" w:rsidRPr="006811B4" w:rsidRDefault="00987D2D" w:rsidP="00987D2D">
      <w:pPr>
        <w:tabs>
          <w:tab w:val="left" w:pos="340"/>
          <w:tab w:val="left" w:pos="612"/>
        </w:tabs>
        <w:spacing w:line="276" w:lineRule="auto"/>
        <w:ind w:left="340" w:right="48"/>
        <w:jc w:val="both"/>
        <w:rPr>
          <w:rFonts w:ascii="Noto Sans" w:hAnsi="Noto Sans" w:cs="Noto Sans"/>
          <w:sz w:val="22"/>
          <w:szCs w:val="22"/>
        </w:rPr>
      </w:pPr>
      <w:r w:rsidRPr="006811B4">
        <w:rPr>
          <w:rFonts w:ascii="Noto Sans" w:hAnsi="Noto Sans" w:cs="Noto Sans"/>
          <w:sz w:val="22"/>
          <w:szCs w:val="22"/>
        </w:rPr>
        <w:sym w:font="Symbol" w:char="F0B7"/>
      </w:r>
      <w:r w:rsidRPr="006811B4">
        <w:rPr>
          <w:rFonts w:ascii="Noto Sans" w:hAnsi="Noto Sans" w:cs="Noto Sans"/>
          <w:sz w:val="22"/>
          <w:szCs w:val="22"/>
        </w:rPr>
        <w:t xml:space="preserve"> Almacén de unidad médica, espacio en inmuebles de atención a la salud de 1ro., 2do. Nivel y UMAE, donde se almacena material de curación, instrumental médico, insumos de limpieza, papelería, entre otros. </w:t>
      </w:r>
    </w:p>
    <w:p w14:paraId="53C5960D" w14:textId="77777777" w:rsidR="00987D2D" w:rsidRPr="006811B4" w:rsidRDefault="00987D2D" w:rsidP="00987D2D">
      <w:pPr>
        <w:tabs>
          <w:tab w:val="left" w:pos="340"/>
          <w:tab w:val="left" w:pos="612"/>
        </w:tabs>
        <w:spacing w:line="276" w:lineRule="auto"/>
        <w:ind w:left="340" w:right="48"/>
        <w:jc w:val="both"/>
        <w:rPr>
          <w:rFonts w:ascii="Noto Sans" w:hAnsi="Noto Sans" w:cs="Noto Sans"/>
          <w:sz w:val="22"/>
          <w:szCs w:val="22"/>
        </w:rPr>
      </w:pPr>
    </w:p>
    <w:p w14:paraId="5E1A5AE5" w14:textId="77777777" w:rsidR="00987D2D" w:rsidRPr="006811B4" w:rsidRDefault="00987D2D" w:rsidP="00987D2D">
      <w:pPr>
        <w:tabs>
          <w:tab w:val="left" w:pos="340"/>
          <w:tab w:val="left" w:pos="612"/>
        </w:tabs>
        <w:spacing w:line="276" w:lineRule="auto"/>
        <w:ind w:left="340" w:right="48"/>
        <w:jc w:val="both"/>
        <w:rPr>
          <w:rFonts w:ascii="Noto Sans" w:hAnsi="Noto Sans" w:cs="Noto Sans"/>
          <w:sz w:val="22"/>
          <w:szCs w:val="22"/>
        </w:rPr>
      </w:pPr>
      <w:r w:rsidRPr="006811B4">
        <w:rPr>
          <w:rFonts w:ascii="Noto Sans" w:hAnsi="Noto Sans" w:cs="Noto Sans"/>
          <w:sz w:val="22"/>
          <w:szCs w:val="22"/>
        </w:rPr>
        <w:sym w:font="Symbol" w:char="F0B7"/>
      </w:r>
      <w:r w:rsidRPr="006811B4">
        <w:rPr>
          <w:rFonts w:ascii="Noto Sans" w:hAnsi="Noto Sans" w:cs="Noto Sans"/>
          <w:sz w:val="22"/>
          <w:szCs w:val="22"/>
        </w:rPr>
        <w:t xml:space="preserve"> Almacén de unidad no médica, espacio en inmuebles administrativos (Oficinas, guarderías, Centros de Seguridad Social, entre otros), donde se almacenan los insumos necesarios para su operación.</w:t>
      </w:r>
    </w:p>
    <w:p w14:paraId="341DEBCB" w14:textId="77777777" w:rsidR="00987D2D" w:rsidRPr="006811B4" w:rsidRDefault="00987D2D" w:rsidP="00987D2D">
      <w:pPr>
        <w:spacing w:before="100" w:beforeAutospacing="1" w:after="100" w:afterAutospacing="1" w:line="276" w:lineRule="auto"/>
        <w:jc w:val="both"/>
        <w:rPr>
          <w:rFonts w:ascii="Noto Sans" w:hAnsi="Noto Sans" w:cs="Noto Sans"/>
          <w:b/>
          <w:sz w:val="22"/>
          <w:szCs w:val="22"/>
        </w:rPr>
      </w:pPr>
      <w:r w:rsidRPr="006811B4">
        <w:rPr>
          <w:rFonts w:ascii="Noto Sans" w:hAnsi="Noto Sans" w:cs="Noto Sans"/>
          <w:b/>
          <w:sz w:val="22"/>
          <w:szCs w:val="22"/>
        </w:rPr>
        <w:t>Características y especificaciones técnicas de los vehículos a suministrar para la prestación del Arrendamiento.</w:t>
      </w:r>
    </w:p>
    <w:p w14:paraId="7AEB9419" w14:textId="77777777" w:rsidR="00987D2D" w:rsidRPr="006811B4" w:rsidRDefault="00987D2D" w:rsidP="00987D2D">
      <w:pPr>
        <w:spacing w:before="100" w:beforeAutospacing="1" w:after="100" w:afterAutospacing="1" w:line="276" w:lineRule="auto"/>
        <w:jc w:val="both"/>
        <w:rPr>
          <w:rFonts w:ascii="Noto Sans" w:hAnsi="Noto Sans" w:cs="Noto Sans"/>
          <w:sz w:val="22"/>
          <w:szCs w:val="22"/>
        </w:rPr>
      </w:pPr>
      <w:r w:rsidRPr="006811B4">
        <w:rPr>
          <w:rFonts w:ascii="Noto Sans" w:hAnsi="Noto Sans" w:cs="Noto Sans"/>
          <w:sz w:val="22"/>
          <w:szCs w:val="22"/>
        </w:rPr>
        <w:t>El Instituto requiere los siguientes vehículos y los participantes deberán ofertar de acuerdo a lo siguiente:</w:t>
      </w:r>
    </w:p>
    <w:tbl>
      <w:tblPr>
        <w:tblStyle w:val="Tablaconcuadrcula"/>
        <w:tblW w:w="0" w:type="auto"/>
        <w:tblInd w:w="108" w:type="dxa"/>
        <w:tblLook w:val="04A0" w:firstRow="1" w:lastRow="0" w:firstColumn="1" w:lastColumn="0" w:noHBand="0" w:noVBand="1"/>
      </w:tblPr>
      <w:tblGrid>
        <w:gridCol w:w="1205"/>
        <w:gridCol w:w="2418"/>
        <w:gridCol w:w="2553"/>
        <w:gridCol w:w="1272"/>
        <w:gridCol w:w="1272"/>
      </w:tblGrid>
      <w:tr w:rsidR="00C2103A" w:rsidRPr="00746705" w14:paraId="345F6E42" w14:textId="77777777" w:rsidTr="00A859CD">
        <w:tc>
          <w:tcPr>
            <w:tcW w:w="1290"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073F0176"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r w:rsidRPr="00C2103A">
              <w:rPr>
                <w:rFonts w:ascii="Noto Sans" w:hAnsi="Noto Sans" w:cs="Noto Sans"/>
                <w:b/>
              </w:rPr>
              <w:t>PARTIDA</w:t>
            </w:r>
          </w:p>
        </w:tc>
        <w:tc>
          <w:tcPr>
            <w:tcW w:w="330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1727B382"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r w:rsidRPr="00C2103A">
              <w:rPr>
                <w:rFonts w:ascii="Noto Sans" w:hAnsi="Noto Sans" w:cs="Noto Sans"/>
                <w:b/>
              </w:rPr>
              <w:t>VEHÍCULO</w:t>
            </w:r>
          </w:p>
        </w:tc>
        <w:tc>
          <w:tcPr>
            <w:tcW w:w="0" w:type="auto"/>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tcPr>
          <w:p w14:paraId="691E3912"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r w:rsidRPr="00C2103A">
              <w:rPr>
                <w:rFonts w:ascii="Noto Sans" w:hAnsi="Noto Sans" w:cs="Noto Sans"/>
                <w:b/>
              </w:rPr>
              <w:t>MODELO</w:t>
            </w:r>
          </w:p>
          <w:p w14:paraId="4780663E"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p>
        </w:tc>
        <w:tc>
          <w:tcPr>
            <w:tcW w:w="0" w:type="auto"/>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23DF3849"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r w:rsidRPr="00C2103A">
              <w:rPr>
                <w:rFonts w:ascii="Noto Sans" w:hAnsi="Noto Sans" w:cs="Noto Sans"/>
                <w:b/>
              </w:rPr>
              <w:t>CANTIDAD MÍNIMA</w:t>
            </w:r>
          </w:p>
        </w:tc>
        <w:tc>
          <w:tcPr>
            <w:tcW w:w="0" w:type="auto"/>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457F013E"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r w:rsidRPr="00C2103A">
              <w:rPr>
                <w:rFonts w:ascii="Noto Sans" w:hAnsi="Noto Sans" w:cs="Noto Sans"/>
                <w:b/>
              </w:rPr>
              <w:t>CANTIDAD MÁXIMA</w:t>
            </w:r>
          </w:p>
        </w:tc>
      </w:tr>
      <w:tr w:rsidR="00C2103A" w:rsidRPr="00746705" w14:paraId="74924DC5" w14:textId="77777777" w:rsidTr="00A859CD">
        <w:trPr>
          <w:trHeight w:val="370"/>
        </w:trPr>
        <w:tc>
          <w:tcPr>
            <w:tcW w:w="9796" w:type="dxa"/>
            <w:gridSpan w:val="5"/>
            <w:tcBorders>
              <w:top w:val="single" w:sz="4" w:space="0" w:color="595959" w:themeColor="text1" w:themeTint="A6"/>
              <w:left w:val="single" w:sz="4" w:space="0" w:color="000000"/>
              <w:bottom w:val="single" w:sz="4" w:space="0" w:color="000000"/>
              <w:right w:val="single" w:sz="4" w:space="0" w:color="000000"/>
            </w:tcBorders>
            <w:vAlign w:val="center"/>
          </w:tcPr>
          <w:p w14:paraId="4C159F6F"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r w:rsidRPr="00C2103A">
              <w:rPr>
                <w:rFonts w:ascii="Noto Sans" w:hAnsi="Noto Sans" w:cs="Noto Sans"/>
                <w:b/>
              </w:rPr>
              <w:t>CHASIS CABINA 10 A 12 TONELADAS (CARGA ÚTIL), 4, 6 U 8 CILINDROS</w:t>
            </w:r>
          </w:p>
        </w:tc>
      </w:tr>
      <w:tr w:rsidR="00C2103A" w:rsidRPr="00746705" w14:paraId="71AE88D5" w14:textId="77777777" w:rsidTr="00A859CD">
        <w:trPr>
          <w:trHeight w:val="422"/>
        </w:trPr>
        <w:tc>
          <w:tcPr>
            <w:tcW w:w="1290" w:type="dxa"/>
            <w:tcBorders>
              <w:top w:val="single" w:sz="4" w:space="0" w:color="595959" w:themeColor="text1" w:themeTint="A6"/>
              <w:left w:val="single" w:sz="4" w:space="0" w:color="000000"/>
              <w:bottom w:val="single" w:sz="4" w:space="0" w:color="000000"/>
              <w:right w:val="single" w:sz="4" w:space="0" w:color="000000"/>
            </w:tcBorders>
            <w:vAlign w:val="center"/>
          </w:tcPr>
          <w:p w14:paraId="2BBE86B6"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rPr>
            </w:pPr>
            <w:r w:rsidRPr="00C2103A">
              <w:rPr>
                <w:rFonts w:ascii="Noto Sans" w:hAnsi="Noto Sans" w:cs="Noto Sans"/>
              </w:rPr>
              <w:t>ÚNICA</w:t>
            </w:r>
          </w:p>
        </w:tc>
        <w:tc>
          <w:tcPr>
            <w:tcW w:w="3301" w:type="dxa"/>
            <w:tcBorders>
              <w:top w:val="single" w:sz="4" w:space="0" w:color="595959" w:themeColor="text1" w:themeTint="A6"/>
              <w:left w:val="single" w:sz="4" w:space="0" w:color="000000"/>
              <w:bottom w:val="single" w:sz="4" w:space="0" w:color="000000"/>
              <w:right w:val="single" w:sz="4" w:space="0" w:color="000000"/>
            </w:tcBorders>
            <w:vAlign w:val="center"/>
          </w:tcPr>
          <w:p w14:paraId="4742CF9B"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rPr>
            </w:pPr>
            <w:r w:rsidRPr="00C2103A">
              <w:rPr>
                <w:rFonts w:ascii="Noto Sans" w:hAnsi="Noto Sans" w:cs="Noto Sans"/>
              </w:rPr>
              <w:t>CAJA SECA</w:t>
            </w:r>
          </w:p>
        </w:tc>
        <w:tc>
          <w:tcPr>
            <w:tcW w:w="0" w:type="auto"/>
            <w:tcBorders>
              <w:top w:val="single" w:sz="4" w:space="0" w:color="595959" w:themeColor="text1" w:themeTint="A6"/>
              <w:left w:val="single" w:sz="4" w:space="0" w:color="000000"/>
              <w:bottom w:val="single" w:sz="4" w:space="0" w:color="000000"/>
              <w:right w:val="single" w:sz="4" w:space="0" w:color="000000"/>
            </w:tcBorders>
            <w:vAlign w:val="center"/>
          </w:tcPr>
          <w:p w14:paraId="69233ED4" w14:textId="022A0FC3" w:rsidR="00C2103A" w:rsidRPr="00C2103A" w:rsidRDefault="00C2103A" w:rsidP="00A859CD">
            <w:pPr>
              <w:pStyle w:val="Prrafodelista"/>
              <w:spacing w:before="100" w:beforeAutospacing="1" w:after="100" w:afterAutospacing="1" w:line="276" w:lineRule="auto"/>
              <w:ind w:left="0"/>
              <w:jc w:val="center"/>
              <w:rPr>
                <w:rFonts w:ascii="Noto Sans" w:hAnsi="Noto Sans" w:cs="Noto Sans"/>
              </w:rPr>
            </w:pPr>
            <w:r w:rsidRPr="00C2103A">
              <w:rPr>
                <w:rFonts w:ascii="Noto Sans" w:hAnsi="Noto Sans" w:cs="Noto Sans"/>
              </w:rPr>
              <w:t>2020 A LA FECHA (</w:t>
            </w:r>
            <w:r>
              <w:rPr>
                <w:rFonts w:ascii="Noto Sans" w:hAnsi="Noto Sans" w:cs="Noto Sans"/>
              </w:rPr>
              <w:t>SEMINUEVOS</w:t>
            </w:r>
            <w:r w:rsidRPr="00C2103A">
              <w:rPr>
                <w:rFonts w:ascii="Noto Sans" w:hAnsi="Noto Sans" w:cs="Noto Sans"/>
              </w:rPr>
              <w:t>)</w:t>
            </w:r>
          </w:p>
        </w:tc>
        <w:tc>
          <w:tcPr>
            <w:tcW w:w="0" w:type="auto"/>
            <w:tcBorders>
              <w:top w:val="single" w:sz="4" w:space="0" w:color="595959" w:themeColor="text1" w:themeTint="A6"/>
              <w:left w:val="single" w:sz="4" w:space="0" w:color="000000"/>
              <w:bottom w:val="single" w:sz="4" w:space="0" w:color="000000"/>
              <w:right w:val="single" w:sz="4" w:space="0" w:color="000000"/>
            </w:tcBorders>
            <w:vAlign w:val="center"/>
          </w:tcPr>
          <w:p w14:paraId="082E3CD6"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rPr>
            </w:pPr>
            <w:r w:rsidRPr="00C2103A">
              <w:rPr>
                <w:rFonts w:ascii="Noto Sans" w:hAnsi="Noto Sans" w:cs="Noto Sans"/>
              </w:rPr>
              <w:t>20</w:t>
            </w:r>
          </w:p>
        </w:tc>
        <w:tc>
          <w:tcPr>
            <w:tcW w:w="0" w:type="auto"/>
            <w:tcBorders>
              <w:top w:val="single" w:sz="4" w:space="0" w:color="595959" w:themeColor="text1" w:themeTint="A6"/>
              <w:left w:val="single" w:sz="4" w:space="0" w:color="000000"/>
              <w:bottom w:val="single" w:sz="4" w:space="0" w:color="000000"/>
              <w:right w:val="single" w:sz="4" w:space="0" w:color="000000"/>
            </w:tcBorders>
            <w:vAlign w:val="center"/>
          </w:tcPr>
          <w:p w14:paraId="70E08DD8"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rPr>
            </w:pPr>
            <w:r w:rsidRPr="00C2103A">
              <w:rPr>
                <w:rFonts w:ascii="Noto Sans" w:hAnsi="Noto Sans" w:cs="Noto Sans"/>
              </w:rPr>
              <w:t>30</w:t>
            </w:r>
          </w:p>
        </w:tc>
      </w:tr>
      <w:tr w:rsidR="00C2103A" w14:paraId="6B907D26" w14:textId="77777777" w:rsidTr="00A859CD">
        <w:trPr>
          <w:trHeight w:val="326"/>
        </w:trPr>
        <w:tc>
          <w:tcPr>
            <w:tcW w:w="7322" w:type="dxa"/>
            <w:gridSpan w:val="3"/>
            <w:tcBorders>
              <w:top w:val="single" w:sz="4" w:space="0" w:color="595959" w:themeColor="text1" w:themeTint="A6"/>
              <w:left w:val="single" w:sz="4" w:space="0" w:color="000000"/>
              <w:bottom w:val="single" w:sz="4" w:space="0" w:color="000000"/>
              <w:right w:val="single" w:sz="4" w:space="0" w:color="000000"/>
            </w:tcBorders>
            <w:vAlign w:val="center"/>
          </w:tcPr>
          <w:p w14:paraId="4FC44CD6"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rPr>
            </w:pPr>
            <w:r w:rsidRPr="00C2103A">
              <w:rPr>
                <w:rFonts w:ascii="Noto Sans" w:hAnsi="Noto Sans" w:cs="Noto Sans"/>
                <w:b/>
                <w:lang w:val="en-US"/>
              </w:rPr>
              <w:t>TOTAL</w:t>
            </w:r>
          </w:p>
        </w:tc>
        <w:tc>
          <w:tcPr>
            <w:tcW w:w="0" w:type="auto"/>
            <w:tcBorders>
              <w:top w:val="single" w:sz="4" w:space="0" w:color="595959" w:themeColor="text1" w:themeTint="A6"/>
              <w:left w:val="single" w:sz="4" w:space="0" w:color="000000"/>
              <w:bottom w:val="single" w:sz="4" w:space="0" w:color="000000"/>
              <w:right w:val="single" w:sz="4" w:space="0" w:color="000000"/>
            </w:tcBorders>
            <w:vAlign w:val="center"/>
          </w:tcPr>
          <w:p w14:paraId="38C49884"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lang w:val="en-US"/>
              </w:rPr>
            </w:pPr>
            <w:r w:rsidRPr="00C2103A">
              <w:rPr>
                <w:rFonts w:ascii="Noto Sans" w:hAnsi="Noto Sans" w:cs="Noto Sans"/>
                <w:b/>
                <w:lang w:val="en-US"/>
              </w:rPr>
              <w:t>20</w:t>
            </w:r>
          </w:p>
        </w:tc>
        <w:tc>
          <w:tcPr>
            <w:tcW w:w="0" w:type="auto"/>
            <w:tcBorders>
              <w:top w:val="single" w:sz="4" w:space="0" w:color="595959" w:themeColor="text1" w:themeTint="A6"/>
              <w:left w:val="single" w:sz="4" w:space="0" w:color="000000"/>
              <w:bottom w:val="single" w:sz="4" w:space="0" w:color="000000"/>
              <w:right w:val="single" w:sz="4" w:space="0" w:color="000000"/>
            </w:tcBorders>
            <w:vAlign w:val="center"/>
          </w:tcPr>
          <w:p w14:paraId="691BD392" w14:textId="77777777" w:rsidR="00C2103A" w:rsidRPr="00C2103A" w:rsidRDefault="00C2103A" w:rsidP="00A859CD">
            <w:pPr>
              <w:pStyle w:val="Prrafodelista"/>
              <w:spacing w:before="100" w:beforeAutospacing="1" w:after="100" w:afterAutospacing="1" w:line="276" w:lineRule="auto"/>
              <w:ind w:left="0"/>
              <w:jc w:val="center"/>
              <w:rPr>
                <w:rFonts w:ascii="Noto Sans" w:hAnsi="Noto Sans" w:cs="Noto Sans"/>
                <w:b/>
                <w:lang w:val="en-US"/>
              </w:rPr>
            </w:pPr>
            <w:r w:rsidRPr="00C2103A">
              <w:rPr>
                <w:rFonts w:ascii="Noto Sans" w:hAnsi="Noto Sans" w:cs="Noto Sans"/>
                <w:b/>
                <w:lang w:val="en-US"/>
              </w:rPr>
              <w:t>30</w:t>
            </w:r>
          </w:p>
        </w:tc>
      </w:tr>
    </w:tbl>
    <w:p w14:paraId="3DA88DF9" w14:textId="77777777" w:rsidR="00987D2D" w:rsidRPr="006811B4" w:rsidRDefault="00987D2D" w:rsidP="00987D2D">
      <w:pPr>
        <w:pStyle w:val="Prrafodelista"/>
        <w:spacing w:before="100" w:beforeAutospacing="1" w:after="100" w:afterAutospacing="1" w:line="276" w:lineRule="auto"/>
        <w:ind w:left="0"/>
        <w:jc w:val="both"/>
        <w:rPr>
          <w:rFonts w:ascii="Noto Sans" w:eastAsia="Aptos" w:hAnsi="Noto Sans" w:cs="Noto Sans"/>
          <w:sz w:val="22"/>
          <w:szCs w:val="22"/>
          <w:lang w:eastAsia="en-US"/>
        </w:rPr>
      </w:pPr>
      <w:r w:rsidRPr="006811B4">
        <w:rPr>
          <w:rFonts w:ascii="Noto Sans" w:hAnsi="Noto Sans" w:cs="Noto Sans"/>
          <w:sz w:val="22"/>
          <w:szCs w:val="22"/>
        </w:rPr>
        <w:t xml:space="preserve">Las características técnicas de los vehículos deberán de corresponder con las señaladas en el </w:t>
      </w:r>
      <w:r w:rsidRPr="006811B4">
        <w:rPr>
          <w:rFonts w:ascii="Noto Sans" w:hAnsi="Noto Sans" w:cs="Noto Sans"/>
          <w:b/>
          <w:sz w:val="22"/>
          <w:szCs w:val="22"/>
        </w:rPr>
        <w:t>“Anexo 1 Especificaciones Técnicas de los Vehículos”</w:t>
      </w:r>
      <w:r w:rsidRPr="006811B4">
        <w:rPr>
          <w:rFonts w:ascii="Noto Sans" w:hAnsi="Noto Sans" w:cs="Noto Sans"/>
          <w:sz w:val="22"/>
          <w:szCs w:val="22"/>
        </w:rPr>
        <w:t xml:space="preserve"> de este Anexo Técnico.</w:t>
      </w:r>
    </w:p>
    <w:p w14:paraId="065B56A3" w14:textId="23E1B330" w:rsidR="00987D2D" w:rsidRPr="006811B4" w:rsidRDefault="00987D2D" w:rsidP="00987D2D">
      <w:pPr>
        <w:autoSpaceDE w:val="0"/>
        <w:autoSpaceDN w:val="0"/>
        <w:adjustRightInd w:val="0"/>
        <w:spacing w:line="276" w:lineRule="auto"/>
        <w:jc w:val="both"/>
        <w:rPr>
          <w:rFonts w:ascii="Noto Sans" w:hAnsi="Noto Sans" w:cs="Noto Sans"/>
          <w:sz w:val="22"/>
          <w:szCs w:val="22"/>
        </w:rPr>
      </w:pPr>
      <w:r w:rsidRPr="006811B4">
        <w:rPr>
          <w:rFonts w:ascii="Noto Sans" w:hAnsi="Noto Sans" w:cs="Noto Sans"/>
          <w:sz w:val="22"/>
          <w:szCs w:val="22"/>
        </w:rPr>
        <w:t>El Arrendamiento, deberá ser prestado en los lugares señalados en el inciso “</w:t>
      </w:r>
      <w:r w:rsidRPr="006811B4">
        <w:rPr>
          <w:rFonts w:ascii="Noto Sans" w:hAnsi="Noto Sans" w:cs="Noto Sans"/>
          <w:b/>
          <w:sz w:val="22"/>
          <w:szCs w:val="22"/>
        </w:rPr>
        <w:t>b)</w:t>
      </w:r>
      <w:r w:rsidRPr="006811B4">
        <w:rPr>
          <w:rFonts w:ascii="Noto Sans" w:hAnsi="Noto Sans" w:cs="Noto Sans"/>
          <w:sz w:val="22"/>
          <w:szCs w:val="22"/>
        </w:rPr>
        <w:t xml:space="preserve"> </w:t>
      </w:r>
      <w:r w:rsidRPr="006811B4">
        <w:rPr>
          <w:rFonts w:ascii="Noto Sans" w:hAnsi="Noto Sans" w:cs="Noto Sans"/>
          <w:b/>
          <w:bCs/>
          <w:sz w:val="22"/>
          <w:szCs w:val="22"/>
          <w:lang w:eastAsia="es-MX"/>
        </w:rPr>
        <w:t xml:space="preserve">Plazo de entrega </w:t>
      </w:r>
      <w:r w:rsidR="00C2103A" w:rsidRPr="006811B4">
        <w:rPr>
          <w:rFonts w:ascii="Noto Sans" w:hAnsi="Noto Sans" w:cs="Noto Sans"/>
          <w:b/>
          <w:bCs/>
          <w:sz w:val="22"/>
          <w:szCs w:val="22"/>
          <w:lang w:eastAsia="es-MX"/>
        </w:rPr>
        <w:t>del arrendamiento</w:t>
      </w:r>
      <w:r w:rsidRPr="006811B4">
        <w:rPr>
          <w:rFonts w:ascii="Noto Sans" w:hAnsi="Noto Sans" w:cs="Noto Sans"/>
          <w:b/>
          <w:bCs/>
          <w:sz w:val="22"/>
          <w:szCs w:val="22"/>
          <w:lang w:eastAsia="es-MX"/>
        </w:rPr>
        <w:t xml:space="preserve">, indicando en su caso, el calendario con programa y condiciones de entrega que corresponda” </w:t>
      </w:r>
      <w:r w:rsidRPr="006811B4">
        <w:rPr>
          <w:rFonts w:ascii="Noto Sans" w:hAnsi="Noto Sans" w:cs="Noto Sans"/>
          <w:sz w:val="22"/>
          <w:szCs w:val="22"/>
        </w:rPr>
        <w:t>de los Términos y Condiciones.</w:t>
      </w:r>
    </w:p>
    <w:p w14:paraId="79176222" w14:textId="77777777" w:rsidR="00987D2D" w:rsidRPr="006811B4" w:rsidRDefault="00987D2D" w:rsidP="00987D2D">
      <w:pPr>
        <w:autoSpaceDE w:val="0"/>
        <w:autoSpaceDN w:val="0"/>
        <w:adjustRightInd w:val="0"/>
        <w:spacing w:line="276" w:lineRule="auto"/>
        <w:jc w:val="both"/>
        <w:rPr>
          <w:rFonts w:ascii="Noto Sans" w:hAnsi="Noto Sans" w:cs="Noto Sans"/>
          <w:sz w:val="22"/>
          <w:szCs w:val="22"/>
        </w:rPr>
      </w:pPr>
    </w:p>
    <w:p w14:paraId="111CB807" w14:textId="4286C02F" w:rsidR="00987D2D" w:rsidRPr="006811B4" w:rsidRDefault="00987D2D" w:rsidP="00987D2D">
      <w:pPr>
        <w:pStyle w:val="Prrafodelista"/>
        <w:spacing w:line="276" w:lineRule="auto"/>
        <w:ind w:left="0"/>
        <w:jc w:val="both"/>
        <w:rPr>
          <w:rFonts w:ascii="Noto Sans" w:hAnsi="Noto Sans" w:cs="Noto Sans"/>
          <w:color w:val="000000"/>
          <w:sz w:val="22"/>
          <w:szCs w:val="22"/>
        </w:rPr>
      </w:pPr>
      <w:r w:rsidRPr="006811B4">
        <w:rPr>
          <w:rFonts w:ascii="Noto Sans" w:hAnsi="Noto Sans" w:cs="Noto Sans"/>
          <w:sz w:val="22"/>
          <w:szCs w:val="22"/>
        </w:rPr>
        <w:t>La clave CUCOP correspondiente al presente requerimiento es 32500023 (</w:t>
      </w:r>
      <w:r w:rsidRPr="006811B4">
        <w:rPr>
          <w:rFonts w:ascii="Noto Sans" w:hAnsi="Noto Sans" w:cs="Noto Sans"/>
          <w:color w:val="000000"/>
          <w:sz w:val="22"/>
          <w:szCs w:val="22"/>
        </w:rPr>
        <w:t xml:space="preserve">Arrendamiento de </w:t>
      </w:r>
      <w:r w:rsidR="00C2103A" w:rsidRPr="006811B4">
        <w:rPr>
          <w:rFonts w:ascii="Noto Sans" w:hAnsi="Noto Sans" w:cs="Noto Sans"/>
          <w:color w:val="000000"/>
          <w:sz w:val="22"/>
          <w:szCs w:val="22"/>
        </w:rPr>
        <w:t>Vehículos Terrestres</w:t>
      </w:r>
      <w:r w:rsidRPr="006811B4">
        <w:rPr>
          <w:rFonts w:ascii="Noto Sans" w:hAnsi="Noto Sans" w:cs="Noto Sans"/>
          <w:color w:val="000000"/>
          <w:sz w:val="22"/>
          <w:szCs w:val="22"/>
        </w:rPr>
        <w:t xml:space="preserve"> para Servicios Administrativos).</w:t>
      </w:r>
    </w:p>
    <w:p w14:paraId="15CC99D2" w14:textId="77777777" w:rsidR="00987D2D" w:rsidRPr="006811B4" w:rsidRDefault="00987D2D" w:rsidP="00987D2D">
      <w:pPr>
        <w:pStyle w:val="Prrafodelista"/>
        <w:spacing w:line="276" w:lineRule="auto"/>
        <w:ind w:left="0"/>
        <w:jc w:val="both"/>
        <w:rPr>
          <w:rFonts w:ascii="Noto Sans" w:hAnsi="Noto Sans" w:cs="Noto Sans"/>
          <w:sz w:val="22"/>
          <w:szCs w:val="22"/>
        </w:rPr>
      </w:pPr>
    </w:p>
    <w:p w14:paraId="6535C662" w14:textId="77777777" w:rsidR="00987D2D" w:rsidRPr="006811B4" w:rsidRDefault="00987D2D" w:rsidP="00987D2D">
      <w:pPr>
        <w:pStyle w:val="Prrafodelista"/>
        <w:numPr>
          <w:ilvl w:val="0"/>
          <w:numId w:val="3"/>
        </w:numPr>
        <w:tabs>
          <w:tab w:val="left" w:pos="426"/>
        </w:tabs>
        <w:spacing w:line="276" w:lineRule="auto"/>
        <w:ind w:left="0" w:firstLine="0"/>
        <w:jc w:val="both"/>
        <w:rPr>
          <w:rFonts w:ascii="Noto Sans" w:hAnsi="Noto Sans" w:cs="Noto Sans"/>
          <w:b/>
          <w:sz w:val="22"/>
          <w:szCs w:val="22"/>
        </w:rPr>
      </w:pPr>
      <w:r w:rsidRPr="006811B4">
        <w:rPr>
          <w:rFonts w:ascii="Noto Sans" w:hAnsi="Noto Sans" w:cs="Noto Sans"/>
          <w:b/>
          <w:sz w:val="22"/>
          <w:szCs w:val="22"/>
        </w:rPr>
        <w:lastRenderedPageBreak/>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w:t>
      </w:r>
    </w:p>
    <w:p w14:paraId="5B08872D" w14:textId="77777777" w:rsidR="00987D2D" w:rsidRPr="006811B4" w:rsidRDefault="00987D2D" w:rsidP="00987D2D">
      <w:pPr>
        <w:tabs>
          <w:tab w:val="left" w:pos="284"/>
        </w:tabs>
        <w:spacing w:line="276" w:lineRule="auto"/>
        <w:jc w:val="both"/>
        <w:rPr>
          <w:rFonts w:ascii="Noto Sans" w:hAnsi="Noto Sans" w:cs="Noto Sans"/>
          <w:sz w:val="22"/>
          <w:szCs w:val="22"/>
        </w:rPr>
      </w:pPr>
      <w:r w:rsidRPr="006811B4">
        <w:rPr>
          <w:rFonts w:ascii="Noto Sans" w:hAnsi="Noto Sans" w:cs="Noto Sans"/>
          <w:sz w:val="22"/>
          <w:szCs w:val="22"/>
        </w:rPr>
        <w:t>No aplica.</w:t>
      </w:r>
    </w:p>
    <w:p w14:paraId="7136A090" w14:textId="77777777" w:rsidR="00987D2D" w:rsidRPr="006811B4" w:rsidRDefault="00987D2D" w:rsidP="00987D2D">
      <w:pPr>
        <w:tabs>
          <w:tab w:val="left" w:pos="284"/>
        </w:tabs>
        <w:spacing w:line="276" w:lineRule="auto"/>
        <w:jc w:val="both"/>
        <w:rPr>
          <w:rFonts w:ascii="Noto Sans" w:hAnsi="Noto Sans" w:cs="Noto Sans"/>
          <w:sz w:val="22"/>
          <w:szCs w:val="22"/>
        </w:rPr>
      </w:pPr>
    </w:p>
    <w:p w14:paraId="57BA9EA2" w14:textId="77777777" w:rsidR="00987D2D" w:rsidRPr="006811B4" w:rsidRDefault="00987D2D" w:rsidP="00987D2D">
      <w:pPr>
        <w:pStyle w:val="Prrafodelista"/>
        <w:numPr>
          <w:ilvl w:val="0"/>
          <w:numId w:val="3"/>
        </w:numPr>
        <w:tabs>
          <w:tab w:val="left" w:pos="426"/>
        </w:tabs>
        <w:spacing w:line="276" w:lineRule="auto"/>
        <w:ind w:left="0" w:firstLine="0"/>
        <w:jc w:val="both"/>
        <w:rPr>
          <w:rFonts w:ascii="Noto Sans" w:hAnsi="Noto Sans" w:cs="Noto Sans"/>
          <w:b/>
          <w:sz w:val="22"/>
          <w:szCs w:val="22"/>
        </w:rPr>
      </w:pPr>
      <w:r w:rsidRPr="006811B4">
        <w:rPr>
          <w:rFonts w:ascii="Noto Sans" w:hAnsi="Noto Sans" w:cs="Noto Sans"/>
          <w:b/>
          <w:sz w:val="22"/>
          <w:szCs w:val="22"/>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2D64A377" w14:textId="77777777" w:rsidR="00987D2D" w:rsidRPr="006811B4" w:rsidRDefault="00987D2D" w:rsidP="00987D2D">
      <w:pPr>
        <w:pStyle w:val="Prrafodelista"/>
        <w:tabs>
          <w:tab w:val="left" w:pos="284"/>
        </w:tabs>
        <w:spacing w:line="276" w:lineRule="auto"/>
        <w:ind w:left="0"/>
        <w:jc w:val="both"/>
        <w:rPr>
          <w:rFonts w:ascii="Noto Sans" w:hAnsi="Noto Sans" w:cs="Noto Sans"/>
          <w:sz w:val="22"/>
          <w:szCs w:val="22"/>
        </w:rPr>
      </w:pPr>
    </w:p>
    <w:p w14:paraId="08DFD451" w14:textId="77777777" w:rsidR="00987D2D" w:rsidRPr="006811B4" w:rsidRDefault="00987D2D" w:rsidP="00987D2D">
      <w:pPr>
        <w:pStyle w:val="Prrafodelista"/>
        <w:tabs>
          <w:tab w:val="left" w:pos="284"/>
        </w:tabs>
        <w:spacing w:line="276" w:lineRule="auto"/>
        <w:ind w:left="0"/>
        <w:jc w:val="both"/>
        <w:rPr>
          <w:rFonts w:ascii="Noto Sans" w:hAnsi="Noto Sans" w:cs="Noto Sans"/>
          <w:sz w:val="22"/>
          <w:szCs w:val="22"/>
        </w:rPr>
      </w:pPr>
      <w:r w:rsidRPr="006811B4">
        <w:rPr>
          <w:rFonts w:ascii="Noto Sans" w:hAnsi="Noto Sans" w:cs="Noto Sans"/>
          <w:sz w:val="22"/>
          <w:szCs w:val="22"/>
        </w:rPr>
        <w:t>No aplica.</w:t>
      </w:r>
    </w:p>
    <w:p w14:paraId="0DE0D0DD" w14:textId="77777777" w:rsidR="00987D2D" w:rsidRPr="006811B4" w:rsidRDefault="00987D2D" w:rsidP="00987D2D">
      <w:pPr>
        <w:tabs>
          <w:tab w:val="left" w:pos="426"/>
        </w:tabs>
        <w:spacing w:line="276" w:lineRule="auto"/>
        <w:jc w:val="both"/>
        <w:rPr>
          <w:rFonts w:ascii="Noto Sans" w:hAnsi="Noto Sans" w:cs="Noto Sans"/>
          <w:b/>
          <w:sz w:val="22"/>
          <w:szCs w:val="22"/>
        </w:rPr>
      </w:pPr>
    </w:p>
    <w:p w14:paraId="04B972EC" w14:textId="77777777" w:rsidR="00987D2D" w:rsidRPr="006811B4" w:rsidRDefault="00987D2D" w:rsidP="00987D2D">
      <w:pPr>
        <w:tabs>
          <w:tab w:val="left" w:pos="426"/>
        </w:tabs>
        <w:spacing w:line="276" w:lineRule="auto"/>
        <w:jc w:val="both"/>
        <w:rPr>
          <w:rFonts w:ascii="Noto Sans" w:hAnsi="Noto Sans" w:cs="Noto Sans"/>
          <w:b/>
          <w:sz w:val="22"/>
          <w:szCs w:val="22"/>
        </w:rPr>
      </w:pPr>
      <w:r w:rsidRPr="006811B4">
        <w:rPr>
          <w:rFonts w:ascii="Noto Sans" w:hAnsi="Noto Sans" w:cs="Noto Sans"/>
          <w:b/>
          <w:sz w:val="22"/>
          <w:szCs w:val="22"/>
        </w:rPr>
        <w:t>d)   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p>
    <w:p w14:paraId="597A89E5" w14:textId="77777777" w:rsidR="00987D2D" w:rsidRPr="006811B4" w:rsidRDefault="00987D2D" w:rsidP="00987D2D">
      <w:pPr>
        <w:tabs>
          <w:tab w:val="left" w:pos="426"/>
        </w:tabs>
        <w:spacing w:line="276" w:lineRule="auto"/>
        <w:jc w:val="both"/>
        <w:rPr>
          <w:rFonts w:ascii="Noto Sans" w:hAnsi="Noto Sans" w:cs="Noto Sans"/>
          <w:sz w:val="22"/>
          <w:szCs w:val="22"/>
        </w:rPr>
      </w:pPr>
    </w:p>
    <w:p w14:paraId="4D08FEF1" w14:textId="77777777" w:rsidR="00987D2D" w:rsidRPr="006811B4" w:rsidRDefault="00987D2D" w:rsidP="00987D2D">
      <w:pPr>
        <w:tabs>
          <w:tab w:val="left" w:pos="426"/>
        </w:tabs>
        <w:spacing w:line="276" w:lineRule="auto"/>
        <w:jc w:val="both"/>
        <w:rPr>
          <w:rFonts w:ascii="Noto Sans" w:hAnsi="Noto Sans" w:cs="Noto Sans"/>
          <w:sz w:val="22"/>
          <w:szCs w:val="22"/>
        </w:rPr>
      </w:pPr>
      <w:r w:rsidRPr="006811B4">
        <w:rPr>
          <w:rFonts w:ascii="Noto Sans" w:hAnsi="Noto Sans" w:cs="Noto Sans"/>
          <w:sz w:val="22"/>
          <w:szCs w:val="22"/>
        </w:rPr>
        <w:t xml:space="preserve">No aplica. </w:t>
      </w:r>
    </w:p>
    <w:p w14:paraId="6D293AD7" w14:textId="77777777" w:rsidR="00987D2D" w:rsidRDefault="00987D2D" w:rsidP="00987D2D">
      <w:pPr>
        <w:tabs>
          <w:tab w:val="left" w:pos="426"/>
        </w:tabs>
        <w:spacing w:line="276" w:lineRule="auto"/>
        <w:jc w:val="both"/>
        <w:rPr>
          <w:rFonts w:ascii="Noto Sans" w:hAnsi="Noto Sans" w:cs="Noto Sans"/>
          <w:sz w:val="22"/>
          <w:szCs w:val="22"/>
        </w:rPr>
      </w:pPr>
    </w:p>
    <w:p w14:paraId="5DC2CBAF" w14:textId="77777777" w:rsidR="00C2103A" w:rsidRPr="006811B4" w:rsidRDefault="00C2103A" w:rsidP="00987D2D">
      <w:pPr>
        <w:tabs>
          <w:tab w:val="left" w:pos="426"/>
        </w:tabs>
        <w:spacing w:line="276" w:lineRule="auto"/>
        <w:jc w:val="both"/>
        <w:rPr>
          <w:rFonts w:ascii="Noto Sans" w:hAnsi="Noto Sans" w:cs="Noto Sans"/>
          <w:sz w:val="22"/>
          <w:szCs w:val="22"/>
        </w:rPr>
      </w:pPr>
    </w:p>
    <w:p w14:paraId="61C33B65" w14:textId="77777777" w:rsidR="00987D2D" w:rsidRPr="006811B4" w:rsidRDefault="00987D2D" w:rsidP="00987D2D">
      <w:pPr>
        <w:pStyle w:val="Prrafodelista"/>
        <w:numPr>
          <w:ilvl w:val="0"/>
          <w:numId w:val="4"/>
        </w:numPr>
        <w:tabs>
          <w:tab w:val="left" w:pos="0"/>
          <w:tab w:val="left" w:pos="426"/>
        </w:tabs>
        <w:spacing w:line="276" w:lineRule="auto"/>
        <w:ind w:left="0" w:firstLine="0"/>
        <w:jc w:val="both"/>
        <w:rPr>
          <w:rFonts w:ascii="Noto Sans" w:hAnsi="Noto Sans" w:cs="Noto Sans"/>
          <w:b/>
          <w:sz w:val="22"/>
          <w:szCs w:val="22"/>
        </w:rPr>
      </w:pPr>
      <w:r w:rsidRPr="006811B4">
        <w:rPr>
          <w:rFonts w:ascii="Noto Sans" w:hAnsi="Noto Sans" w:cs="Noto Sans"/>
          <w:b/>
          <w:sz w:val="22"/>
          <w:szCs w:val="22"/>
        </w:rPr>
        <w:lastRenderedPageBreak/>
        <w:t>Normas: Oficial Mexicana, Estándar (antes Mexicana), Internacional, de Referencia o Especificación Técnica, que resulte aplicable a los bienes o servicios requeridos, conforme a la LIC con base en lo señalado en el numeral 4.28.4 de las POBALINES y, en su caso, el Registro Sanitario correspondiente.</w:t>
      </w:r>
    </w:p>
    <w:p w14:paraId="19CA841C" w14:textId="77777777" w:rsidR="00987D2D" w:rsidRPr="006811B4" w:rsidRDefault="00987D2D" w:rsidP="00987D2D">
      <w:pPr>
        <w:tabs>
          <w:tab w:val="left" w:pos="709"/>
        </w:tabs>
        <w:spacing w:line="276" w:lineRule="auto"/>
        <w:jc w:val="both"/>
        <w:rPr>
          <w:rFonts w:ascii="Noto Sans" w:hAnsi="Noto Sans" w:cs="Noto Sans"/>
          <w:sz w:val="22"/>
          <w:szCs w:val="22"/>
        </w:rPr>
      </w:pPr>
      <w:r w:rsidRPr="006811B4">
        <w:rPr>
          <w:rFonts w:ascii="Noto Sans" w:hAnsi="Noto Sans" w:cs="Noto Sans"/>
          <w:sz w:val="22"/>
          <w:szCs w:val="22"/>
        </w:rPr>
        <w:t>No aplica.</w:t>
      </w:r>
    </w:p>
    <w:p w14:paraId="093AE7AA" w14:textId="77777777" w:rsidR="00987D2D" w:rsidRPr="006811B4" w:rsidRDefault="00987D2D" w:rsidP="00987D2D">
      <w:pPr>
        <w:tabs>
          <w:tab w:val="left" w:pos="709"/>
        </w:tabs>
        <w:spacing w:line="276" w:lineRule="auto"/>
        <w:jc w:val="both"/>
        <w:rPr>
          <w:rFonts w:ascii="Noto Sans" w:hAnsi="Noto Sans" w:cs="Noto Sans"/>
          <w:sz w:val="22"/>
          <w:szCs w:val="22"/>
        </w:rPr>
      </w:pPr>
    </w:p>
    <w:p w14:paraId="33D60ECB" w14:textId="77777777" w:rsidR="00987D2D" w:rsidRPr="006811B4" w:rsidRDefault="00987D2D" w:rsidP="00987D2D">
      <w:pPr>
        <w:pStyle w:val="Prrafodelista"/>
        <w:tabs>
          <w:tab w:val="left" w:pos="0"/>
          <w:tab w:val="left" w:pos="426"/>
        </w:tabs>
        <w:spacing w:line="276" w:lineRule="auto"/>
        <w:ind w:left="0"/>
        <w:jc w:val="both"/>
        <w:rPr>
          <w:rFonts w:ascii="Noto Sans" w:hAnsi="Noto Sans" w:cs="Noto Sans"/>
          <w:sz w:val="22"/>
          <w:szCs w:val="22"/>
        </w:rPr>
      </w:pPr>
      <w:r w:rsidRPr="006811B4">
        <w:rPr>
          <w:rFonts w:ascii="Noto Sans" w:hAnsi="Noto Sans" w:cs="Noto Sans"/>
          <w:b/>
          <w:sz w:val="22"/>
          <w:szCs w:val="22"/>
        </w:rPr>
        <w:t>f)     El Anexo Técnico no deberá contener información relativa a la suficiencia presupuestaria, precios de contratación o al tipo de procedimiento de contratación.</w:t>
      </w:r>
    </w:p>
    <w:p w14:paraId="360257C4" w14:textId="77777777" w:rsidR="00987D2D" w:rsidRPr="006811B4" w:rsidRDefault="00987D2D" w:rsidP="00987D2D">
      <w:pPr>
        <w:pStyle w:val="Prrafodelista"/>
        <w:tabs>
          <w:tab w:val="left" w:pos="0"/>
        </w:tabs>
        <w:spacing w:line="276" w:lineRule="auto"/>
        <w:ind w:left="0"/>
        <w:jc w:val="both"/>
        <w:rPr>
          <w:rFonts w:ascii="Noto Sans" w:hAnsi="Noto Sans" w:cs="Noto Sans"/>
          <w:sz w:val="22"/>
          <w:szCs w:val="22"/>
        </w:rPr>
      </w:pPr>
    </w:p>
    <w:p w14:paraId="12EDC1C3" w14:textId="77777777" w:rsidR="00987D2D" w:rsidRPr="006811B4" w:rsidRDefault="00987D2D" w:rsidP="00987D2D">
      <w:pPr>
        <w:pStyle w:val="Prrafodelista"/>
        <w:tabs>
          <w:tab w:val="left" w:pos="0"/>
        </w:tabs>
        <w:spacing w:line="276" w:lineRule="auto"/>
        <w:ind w:left="0"/>
        <w:jc w:val="both"/>
        <w:rPr>
          <w:rFonts w:ascii="Noto Sans" w:hAnsi="Noto Sans" w:cs="Noto Sans"/>
          <w:sz w:val="22"/>
          <w:szCs w:val="22"/>
        </w:rPr>
      </w:pPr>
      <w:r w:rsidRPr="006811B4">
        <w:rPr>
          <w:rFonts w:ascii="Noto Sans" w:hAnsi="Noto Sans" w:cs="Noto Sans"/>
          <w:sz w:val="22"/>
          <w:szCs w:val="22"/>
        </w:rPr>
        <w:t xml:space="preserve">El presente Anexo Técnico no contiene información relativa a la suficiencia presupuestaria, precios de contratación o al tipo de procedimiento de contratación. </w:t>
      </w:r>
    </w:p>
    <w:p w14:paraId="462F1B39" w14:textId="77777777" w:rsidR="00987D2D" w:rsidRPr="006811B4" w:rsidRDefault="00987D2D" w:rsidP="00987D2D">
      <w:pPr>
        <w:spacing w:before="100" w:beforeAutospacing="1" w:after="100" w:afterAutospacing="1" w:line="276" w:lineRule="auto"/>
        <w:jc w:val="both"/>
        <w:rPr>
          <w:rFonts w:ascii="Noto Sans" w:hAnsi="Noto Sans" w:cs="Noto Sans"/>
          <w:b/>
          <w:sz w:val="22"/>
          <w:szCs w:val="22"/>
        </w:rPr>
      </w:pPr>
      <w:r w:rsidRPr="006811B4">
        <w:rPr>
          <w:rFonts w:ascii="Noto Sans" w:hAnsi="Noto Sans" w:cs="Noto Sans"/>
          <w:b/>
          <w:sz w:val="22"/>
          <w:szCs w:val="22"/>
        </w:rPr>
        <w:t>Administración del Contrato.</w:t>
      </w:r>
    </w:p>
    <w:p w14:paraId="18343B31" w14:textId="77777777" w:rsidR="00987D2D" w:rsidRPr="006811B4" w:rsidRDefault="00987D2D" w:rsidP="00987D2D">
      <w:pPr>
        <w:spacing w:before="100" w:beforeAutospacing="1" w:after="100" w:afterAutospacing="1" w:line="276" w:lineRule="auto"/>
        <w:jc w:val="both"/>
        <w:rPr>
          <w:rFonts w:ascii="Noto Sans" w:hAnsi="Noto Sans" w:cs="Noto Sans"/>
          <w:sz w:val="22"/>
          <w:szCs w:val="22"/>
        </w:rPr>
      </w:pPr>
      <w:r w:rsidRPr="006811B4">
        <w:rPr>
          <w:rFonts w:ascii="Noto Sans" w:hAnsi="Noto Sans" w:cs="Noto Sans"/>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26CF8658" w14:textId="44F93B3C" w:rsidR="00987D2D" w:rsidRDefault="00987D2D" w:rsidP="00987D2D">
      <w:pPr>
        <w:spacing w:before="100" w:beforeAutospacing="1" w:after="100" w:afterAutospacing="1" w:line="276" w:lineRule="auto"/>
        <w:jc w:val="both"/>
        <w:rPr>
          <w:rFonts w:ascii="Noto Sans" w:hAnsi="Noto Sans" w:cs="Noto Sans"/>
          <w:sz w:val="22"/>
          <w:szCs w:val="22"/>
        </w:rPr>
      </w:pPr>
      <w:r w:rsidRPr="006811B4">
        <w:rPr>
          <w:rFonts w:ascii="Noto Sans" w:hAnsi="Noto Sans" w:cs="Noto Sans"/>
          <w:sz w:val="22"/>
          <w:szCs w:val="22"/>
        </w:rPr>
        <w:t xml:space="preserve">Asimismo, para el debido cumplimiento de las obligaciones, se auxiliará de los servidores públicos con el cargo de Jefes de Servicios Administrativos y/o Jefe del Departamento de Conservación y Servicios Generales en los Órganos de Operación Administrativa Desconcentrada; el Director o Subdirector Administrativo en las Unidades Médicas de Alta Especialidad; </w:t>
      </w:r>
      <w:r w:rsidR="00195369">
        <w:rPr>
          <w:rFonts w:ascii="Noto Sans" w:hAnsi="Noto Sans" w:cs="Noto Sans"/>
          <w:sz w:val="22"/>
          <w:szCs w:val="22"/>
        </w:rPr>
        <w:t xml:space="preserve">el Gerente de Administración y Finanzas en los Centros Vacacionales y </w:t>
      </w:r>
      <w:r w:rsidR="00C2103A">
        <w:rPr>
          <w:rFonts w:ascii="Noto Sans" w:hAnsi="Noto Sans" w:cs="Noto Sans"/>
          <w:sz w:val="22"/>
          <w:szCs w:val="22"/>
        </w:rPr>
        <w:t>el Jefe del Departamento Administrativo y/o Coordinador Administrativo y el Jefe del Área de Transportes Aéreos y Traslado de Pacientes en Nivel Central</w:t>
      </w:r>
      <w:r w:rsidRPr="006811B4">
        <w:rPr>
          <w:rFonts w:ascii="Noto Sans" w:hAnsi="Noto Sans" w:cs="Noto Sans"/>
          <w:sz w:val="22"/>
          <w:szCs w:val="22"/>
        </w:rPr>
        <w:t>, y/o en su caso a quien ellos designen de conformidad con el último párrafo del numeral 5.3.15 de las POBALINES, dichos auxiliares serán corresponsables de las actividades que se les asignen y de mantener informado al Administrador del Contrato con la periodicidad y forma que se les indique.</w:t>
      </w:r>
    </w:p>
    <w:p w14:paraId="187F85DC" w14:textId="77777777" w:rsidR="00C2103A" w:rsidRPr="006811B4" w:rsidRDefault="00C2103A" w:rsidP="00987D2D">
      <w:pPr>
        <w:spacing w:before="100" w:beforeAutospacing="1" w:after="100" w:afterAutospacing="1" w:line="276" w:lineRule="auto"/>
        <w:jc w:val="both"/>
        <w:rPr>
          <w:rFonts w:ascii="Noto Sans" w:hAnsi="Noto Sans" w:cs="Noto Sans"/>
          <w:sz w:val="22"/>
          <w:szCs w:val="22"/>
        </w:rPr>
      </w:pPr>
    </w:p>
    <w:p w14:paraId="026192A6" w14:textId="77777777" w:rsidR="00987D2D" w:rsidRDefault="00987D2D" w:rsidP="00987D2D">
      <w:pPr>
        <w:spacing w:before="100" w:beforeAutospacing="1" w:after="100" w:afterAutospacing="1" w:line="276" w:lineRule="auto"/>
        <w:jc w:val="both"/>
        <w:rPr>
          <w:rFonts w:ascii="Noto Sans" w:hAnsi="Noto Sans" w:cs="Noto Sans"/>
          <w:sz w:val="22"/>
          <w:szCs w:val="22"/>
        </w:rPr>
      </w:pPr>
      <w:r w:rsidRPr="006811B4">
        <w:rPr>
          <w:rFonts w:ascii="Noto Sans" w:hAnsi="Noto Sans" w:cs="Noto Sans"/>
          <w:sz w:val="22"/>
          <w:szCs w:val="22"/>
        </w:rPr>
        <w:lastRenderedPageBreak/>
        <w:t>Para la toma de decisiones, administración del contrato y mejora de procesos, se deberá contar con el aval y supervisión del servidor público con el cargo de Coordinador Técnico de Servicios Generales.</w:t>
      </w:r>
    </w:p>
    <w:p w14:paraId="74439204" w14:textId="77777777" w:rsidR="00987D2D" w:rsidRPr="006811B4" w:rsidRDefault="00987D2D" w:rsidP="00987D2D">
      <w:pPr>
        <w:tabs>
          <w:tab w:val="left" w:pos="567"/>
        </w:tabs>
        <w:spacing w:before="100" w:beforeAutospacing="1" w:after="100" w:afterAutospacing="1" w:line="276" w:lineRule="auto"/>
        <w:jc w:val="both"/>
        <w:rPr>
          <w:rFonts w:ascii="Noto Sans" w:hAnsi="Noto Sans" w:cs="Noto Sans"/>
          <w:b/>
          <w:sz w:val="22"/>
          <w:szCs w:val="22"/>
        </w:rPr>
      </w:pPr>
      <w:r w:rsidRPr="006811B4">
        <w:rPr>
          <w:rFonts w:ascii="Noto Sans" w:hAnsi="Noto Sans" w:cs="Noto Sans"/>
          <w:b/>
          <w:sz w:val="22"/>
          <w:szCs w:val="22"/>
        </w:rPr>
        <w:t>Área Técnica</w:t>
      </w:r>
    </w:p>
    <w:p w14:paraId="5F4587A2" w14:textId="62A155F8" w:rsidR="00987D2D" w:rsidRPr="006811B4" w:rsidRDefault="00987D2D" w:rsidP="00987D2D">
      <w:pPr>
        <w:spacing w:before="100" w:beforeAutospacing="1" w:after="100" w:afterAutospacing="1" w:line="276" w:lineRule="auto"/>
        <w:jc w:val="both"/>
        <w:rPr>
          <w:rFonts w:ascii="Noto Sans" w:hAnsi="Noto Sans" w:cs="Noto Sans"/>
          <w:sz w:val="22"/>
          <w:szCs w:val="22"/>
        </w:rPr>
      </w:pPr>
      <w:r w:rsidRPr="006811B4">
        <w:rPr>
          <w:rFonts w:ascii="Noto Sans" w:hAnsi="Noto Sans" w:cs="Noto Sans"/>
          <w:sz w:val="22"/>
          <w:szCs w:val="22"/>
        </w:rPr>
        <w:t xml:space="preserve">De conformidad con lo establecido en el numeral 4.25 de las Políticas, </w:t>
      </w:r>
      <w:r w:rsidR="00C2103A" w:rsidRPr="006811B4">
        <w:rPr>
          <w:rFonts w:ascii="Noto Sans" w:hAnsi="Noto Sans" w:cs="Noto Sans"/>
          <w:sz w:val="22"/>
          <w:szCs w:val="22"/>
        </w:rPr>
        <w:t>Bases y</w:t>
      </w:r>
      <w:r w:rsidRPr="006811B4">
        <w:rPr>
          <w:rFonts w:ascii="Noto Sans" w:hAnsi="Noto Sans" w:cs="Noto Sans"/>
          <w:sz w:val="22"/>
          <w:szCs w:val="22"/>
        </w:rPr>
        <w:t xml:space="preserve"> Lineamientos en Materia de Adquisiciones, Arrendamientos y Servicios del Instituto Mexicano del Seguro social, el Área Técnica será el servidor público con el cargo de Titular de la División de Transportes y Operación.</w:t>
      </w:r>
    </w:p>
    <w:p w14:paraId="09713D14" w14:textId="77777777" w:rsidR="00987D2D" w:rsidRPr="006811B4" w:rsidRDefault="00987D2D" w:rsidP="00987D2D">
      <w:pPr>
        <w:spacing w:before="100" w:beforeAutospacing="1" w:after="100" w:afterAutospacing="1" w:line="276" w:lineRule="auto"/>
        <w:jc w:val="center"/>
        <w:rPr>
          <w:rFonts w:ascii="Noto Sans" w:hAnsi="Noto Sans" w:cs="Noto Sans"/>
          <w:b/>
          <w:sz w:val="22"/>
          <w:szCs w:val="22"/>
        </w:rPr>
      </w:pPr>
      <w:r w:rsidRPr="006811B4">
        <w:rPr>
          <w:rFonts w:ascii="Noto Sans" w:hAnsi="Noto Sans" w:cs="Noto Sans"/>
          <w:b/>
          <w:sz w:val="22"/>
          <w:szCs w:val="22"/>
        </w:rPr>
        <w:t>Área Técnica</w:t>
      </w:r>
    </w:p>
    <w:p w14:paraId="5840D8F8" w14:textId="77777777" w:rsidR="00987D2D" w:rsidRPr="006811B4" w:rsidRDefault="00987D2D" w:rsidP="00987D2D">
      <w:pPr>
        <w:rPr>
          <w:rFonts w:ascii="Noto Sans" w:hAnsi="Noto Sans" w:cs="Noto Sans"/>
          <w:sz w:val="22"/>
          <w:szCs w:val="22"/>
        </w:rPr>
      </w:pPr>
    </w:p>
    <w:p w14:paraId="4AD07E7B" w14:textId="77777777" w:rsidR="00987D2D" w:rsidRPr="006811B4" w:rsidRDefault="00987D2D" w:rsidP="00987D2D">
      <w:pPr>
        <w:rPr>
          <w:rFonts w:ascii="Noto Sans" w:hAnsi="Noto Sans" w:cs="Noto Sans"/>
          <w:sz w:val="22"/>
          <w:szCs w:val="22"/>
        </w:rPr>
      </w:pPr>
    </w:p>
    <w:p w14:paraId="3B910D19" w14:textId="77777777" w:rsidR="00987D2D" w:rsidRPr="006811B4" w:rsidRDefault="00987D2D" w:rsidP="00987D2D">
      <w:pPr>
        <w:rPr>
          <w:rFonts w:ascii="Noto Sans" w:hAnsi="Noto Sans" w:cs="Noto Sans"/>
          <w:sz w:val="22"/>
          <w:szCs w:val="22"/>
        </w:rPr>
      </w:pPr>
    </w:p>
    <w:tbl>
      <w:tblPr>
        <w:tblW w:w="0" w:type="auto"/>
        <w:jc w:val="center"/>
        <w:tblLook w:val="04A0" w:firstRow="1" w:lastRow="0" w:firstColumn="1" w:lastColumn="0" w:noHBand="0" w:noVBand="1"/>
      </w:tblPr>
      <w:tblGrid>
        <w:gridCol w:w="8838"/>
      </w:tblGrid>
      <w:tr w:rsidR="00A815F9" w:rsidRPr="006811B4" w14:paraId="5DEA11FA" w14:textId="77777777" w:rsidTr="008168C7">
        <w:trPr>
          <w:trHeight w:val="1850"/>
          <w:jc w:val="center"/>
        </w:trPr>
        <w:tc>
          <w:tcPr>
            <w:tcW w:w="8946" w:type="dxa"/>
            <w:vAlign w:val="bottom"/>
          </w:tcPr>
          <w:p w14:paraId="0ED0B7B6" w14:textId="77777777" w:rsidR="00A815F9" w:rsidRPr="006811B4" w:rsidRDefault="00A815F9" w:rsidP="00D1367D">
            <w:pPr>
              <w:spacing w:line="276" w:lineRule="auto"/>
              <w:jc w:val="center"/>
              <w:rPr>
                <w:rFonts w:ascii="Noto Sans" w:eastAsia="Times New Roman" w:hAnsi="Noto Sans" w:cs="Noto Sans"/>
                <w:b/>
                <w:sz w:val="22"/>
                <w:szCs w:val="22"/>
                <w:lang w:val="es-ES_tradnl" w:eastAsia="es-MX"/>
              </w:rPr>
            </w:pPr>
          </w:p>
          <w:p w14:paraId="78247A49" w14:textId="77777777" w:rsidR="00A815F9" w:rsidRPr="006811B4" w:rsidRDefault="00A815F9" w:rsidP="00D1367D">
            <w:pPr>
              <w:spacing w:line="276" w:lineRule="auto"/>
              <w:jc w:val="center"/>
              <w:rPr>
                <w:rFonts w:ascii="Noto Sans" w:hAnsi="Noto Sans" w:cs="Noto Sans"/>
                <w:b/>
                <w:sz w:val="22"/>
                <w:szCs w:val="22"/>
                <w:lang w:eastAsia="es-MX"/>
              </w:rPr>
            </w:pPr>
          </w:p>
          <w:p w14:paraId="2A743310" w14:textId="77777777" w:rsidR="00A815F9" w:rsidRPr="006811B4" w:rsidRDefault="00A815F9" w:rsidP="00D1367D">
            <w:pPr>
              <w:spacing w:line="276" w:lineRule="auto"/>
              <w:jc w:val="center"/>
              <w:rPr>
                <w:rFonts w:ascii="Noto Sans" w:hAnsi="Noto Sans" w:cs="Noto Sans"/>
                <w:b/>
                <w:sz w:val="22"/>
                <w:szCs w:val="22"/>
                <w:lang w:eastAsia="es-MX"/>
              </w:rPr>
            </w:pPr>
          </w:p>
          <w:p w14:paraId="4E9430F6" w14:textId="77777777" w:rsidR="00A815F9" w:rsidRPr="006811B4" w:rsidRDefault="00A815F9" w:rsidP="00D1367D">
            <w:pPr>
              <w:spacing w:line="276" w:lineRule="auto"/>
              <w:jc w:val="center"/>
              <w:rPr>
                <w:rFonts w:ascii="Noto Sans" w:eastAsia="Times New Roman" w:hAnsi="Noto Sans" w:cs="Noto Sans"/>
                <w:b/>
                <w:sz w:val="22"/>
                <w:szCs w:val="22"/>
                <w:lang w:val="es-ES_tradnl" w:eastAsia="es-MX"/>
              </w:rPr>
            </w:pPr>
            <w:r w:rsidRPr="006811B4">
              <w:rPr>
                <w:rFonts w:ascii="Noto Sans" w:hAnsi="Noto Sans" w:cs="Noto Sans"/>
                <w:b/>
                <w:sz w:val="22"/>
                <w:szCs w:val="22"/>
                <w:lang w:eastAsia="es-MX"/>
              </w:rPr>
              <w:t>Lic. Rafael Villegas Torres</w:t>
            </w:r>
          </w:p>
          <w:p w14:paraId="46D7BFE8" w14:textId="26271BE5" w:rsidR="00A815F9" w:rsidRPr="006811B4" w:rsidRDefault="00A815F9" w:rsidP="00D1367D">
            <w:pPr>
              <w:spacing w:line="276" w:lineRule="auto"/>
              <w:jc w:val="center"/>
              <w:rPr>
                <w:rFonts w:ascii="Noto Sans" w:eastAsia="Times New Roman" w:hAnsi="Noto Sans" w:cs="Noto Sans"/>
                <w:b/>
                <w:sz w:val="22"/>
                <w:szCs w:val="22"/>
                <w:lang w:val="es-ES_tradnl" w:eastAsia="es-MX"/>
              </w:rPr>
            </w:pPr>
            <w:r w:rsidRPr="006811B4">
              <w:rPr>
                <w:rFonts w:ascii="Noto Sans" w:hAnsi="Noto Sans" w:cs="Noto Sans"/>
                <w:sz w:val="22"/>
                <w:szCs w:val="22"/>
                <w:lang w:eastAsia="es-MX"/>
              </w:rPr>
              <w:t>Titular de la División de Transportes y Operación</w:t>
            </w:r>
          </w:p>
        </w:tc>
      </w:tr>
    </w:tbl>
    <w:p w14:paraId="618FFC07" w14:textId="77777777" w:rsidR="00987D2D" w:rsidRPr="006811B4" w:rsidRDefault="00987D2D" w:rsidP="00987D2D">
      <w:pPr>
        <w:rPr>
          <w:rFonts w:ascii="Noto Sans" w:eastAsia="Times New Roman" w:hAnsi="Noto Sans" w:cs="Noto Sans"/>
          <w:sz w:val="22"/>
          <w:szCs w:val="22"/>
          <w:lang w:val="es-MX"/>
        </w:rPr>
      </w:pPr>
    </w:p>
    <w:p w14:paraId="294E8014" w14:textId="77777777" w:rsidR="00987D2D" w:rsidRPr="006811B4" w:rsidRDefault="00987D2D" w:rsidP="00B0589E">
      <w:pPr>
        <w:spacing w:line="360" w:lineRule="auto"/>
        <w:jc w:val="both"/>
        <w:rPr>
          <w:rFonts w:ascii="Noto Sans" w:hAnsi="Noto Sans" w:cs="Noto Sans"/>
          <w:sz w:val="22"/>
          <w:szCs w:val="22"/>
          <w:lang w:val="es-MX"/>
        </w:rPr>
      </w:pPr>
    </w:p>
    <w:sectPr w:rsidR="00987D2D" w:rsidRPr="006811B4" w:rsidSect="00C918A3">
      <w:headerReference w:type="even" r:id="rId11"/>
      <w:headerReference w:type="default" r:id="rId12"/>
      <w:footerReference w:type="even" r:id="rId13"/>
      <w:footerReference w:type="default" r:id="rId14"/>
      <w:headerReference w:type="first" r:id="rId15"/>
      <w:footerReference w:type="first" r:id="rId16"/>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1CFBB" w14:textId="77777777" w:rsidR="006B5CD1" w:rsidRDefault="006B5CD1" w:rsidP="00A73D65">
      <w:r>
        <w:separator/>
      </w:r>
    </w:p>
  </w:endnote>
  <w:endnote w:type="continuationSeparator" w:id="0">
    <w:p w14:paraId="2545130A" w14:textId="77777777" w:rsidR="006B5CD1" w:rsidRDefault="006B5CD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Mincho"/>
    <w:charset w:val="80"/>
    <w:family w:val="roman"/>
    <w:pitch w:val="variable"/>
    <w:sig w:usb0="800002E7" w:usb1="2AC7FCFF" w:usb2="00000012" w:usb3="00000000" w:csb0="0002009F" w:csb1="00000000"/>
  </w:font>
  <w:font w:name="Noto Sans">
    <w:altName w:val="Segoe UI"/>
    <w:charset w:val="00"/>
    <w:family w:val="swiss"/>
    <w:pitch w:val="variable"/>
    <w:sig w:usb0="E00082FF" w:usb1="400078FF" w:usb2="00000021" w:usb3="00000000" w:csb0="0000019F" w:csb1="00000000"/>
  </w:font>
  <w:font w:name="Aptos">
    <w:altName w:val="Calibri"/>
    <w:charset w:val="00"/>
    <w:family w:val="swiss"/>
    <w:pitch w:val="variable"/>
    <w:sig w:usb0="20000287" w:usb1="00000003" w:usb2="00000000" w:usb3="00000000" w:csb0="0000019F" w:csb1="00000000"/>
  </w:font>
  <w:font w:name="Noto Sans SemiBold">
    <w:altName w:val="Calibri"/>
    <w:charset w:val="00"/>
    <w:family w:val="swiss"/>
    <w:pitch w:val="variable"/>
    <w:sig w:usb0="E00002FF" w:usb1="4000201F" w:usb2="08000029"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29C07" w14:textId="77777777" w:rsidR="004C5CBC" w:rsidRDefault="004C5CB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688E9F2" w:rsidR="00A73D65" w:rsidRDefault="00562B26">
    <w:pPr>
      <w:pStyle w:val="Piedepgina"/>
    </w:pPr>
    <w:r>
      <w:rPr>
        <w:noProof/>
      </w:rPr>
      <mc:AlternateContent>
        <mc:Choice Requires="wps">
          <w:drawing>
            <wp:anchor distT="0" distB="0" distL="114300" distR="114300" simplePos="0" relativeHeight="251657216" behindDoc="0" locked="0" layoutInCell="1" allowOverlap="1" wp14:anchorId="37C0E0B6" wp14:editId="2555C590">
              <wp:simplePos x="0" y="0"/>
              <wp:positionH relativeFrom="column">
                <wp:posOffset>1202690</wp:posOffset>
              </wp:positionH>
              <wp:positionV relativeFrom="paragraph">
                <wp:posOffset>-551815</wp:posOffset>
              </wp:positionV>
              <wp:extent cx="4965700" cy="615950"/>
              <wp:effectExtent l="0" t="3175" r="0" b="0"/>
              <wp:wrapNone/>
              <wp:docPr id="107440175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570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08F8DBA2" w:rsidR="00206F46" w:rsidRPr="004C5CBC" w:rsidRDefault="004C5CBC" w:rsidP="00206F46">
                          <w:pPr>
                            <w:textDirection w:val="btLr"/>
                            <w:rPr>
                              <w:rFonts w:ascii="Noto Sans" w:hAnsi="Noto Sans" w:cs="Noto Sans"/>
                              <w:sz w:val="16"/>
                              <w:szCs w:val="16"/>
                            </w:rPr>
                          </w:pPr>
                          <w:r w:rsidRPr="004C5CBC">
                            <w:rPr>
                              <w:rFonts w:ascii="Noto Sans" w:hAnsi="Noto Sans" w:cs="Noto Sans"/>
                              <w:sz w:val="16"/>
                              <w:szCs w:val="16"/>
                            </w:rPr>
                            <w:t xml:space="preserve">                             </w:t>
                          </w:r>
                          <w:r>
                            <w:rPr>
                              <w:rFonts w:ascii="Noto Sans" w:hAnsi="Noto Sans" w:cs="Noto Sans"/>
                              <w:sz w:val="16"/>
                              <w:szCs w:val="16"/>
                            </w:rPr>
                            <w:t xml:space="preserve">       </w:t>
                          </w:r>
                          <w:r w:rsidRPr="004C5CBC">
                            <w:rPr>
                              <w:rFonts w:ascii="Noto Sans" w:hAnsi="Noto Sans" w:cs="Noto Sans"/>
                              <w:sz w:val="16"/>
                              <w:szCs w:val="16"/>
                            </w:rPr>
                            <w:t xml:space="preserve">   Página </w:t>
                          </w:r>
                          <w:r w:rsidRPr="004C5CBC">
                            <w:rPr>
                              <w:rFonts w:ascii="Noto Sans" w:hAnsi="Noto Sans" w:cs="Noto Sans"/>
                              <w:b/>
                              <w:sz w:val="16"/>
                              <w:szCs w:val="16"/>
                            </w:rPr>
                            <w:fldChar w:fldCharType="begin"/>
                          </w:r>
                          <w:r w:rsidRPr="004C5CBC">
                            <w:rPr>
                              <w:rFonts w:ascii="Noto Sans" w:hAnsi="Noto Sans" w:cs="Noto Sans"/>
                              <w:b/>
                              <w:sz w:val="16"/>
                              <w:szCs w:val="16"/>
                            </w:rPr>
                            <w:instrText>PAGE  \* Arabic  \* MERGEFORMAT</w:instrText>
                          </w:r>
                          <w:r w:rsidRPr="004C5CBC">
                            <w:rPr>
                              <w:rFonts w:ascii="Noto Sans" w:hAnsi="Noto Sans" w:cs="Noto Sans"/>
                              <w:b/>
                              <w:sz w:val="16"/>
                              <w:szCs w:val="16"/>
                            </w:rPr>
                            <w:fldChar w:fldCharType="separate"/>
                          </w:r>
                          <w:r>
                            <w:rPr>
                              <w:rFonts w:ascii="Noto Sans" w:hAnsi="Noto Sans" w:cs="Noto Sans"/>
                              <w:b/>
                              <w:noProof/>
                              <w:sz w:val="16"/>
                              <w:szCs w:val="16"/>
                            </w:rPr>
                            <w:t>1</w:t>
                          </w:r>
                          <w:r w:rsidRPr="004C5CBC">
                            <w:rPr>
                              <w:rFonts w:ascii="Noto Sans" w:hAnsi="Noto Sans" w:cs="Noto Sans"/>
                              <w:b/>
                              <w:sz w:val="16"/>
                              <w:szCs w:val="16"/>
                            </w:rPr>
                            <w:fldChar w:fldCharType="end"/>
                          </w:r>
                          <w:r w:rsidRPr="004C5CBC">
                            <w:rPr>
                              <w:rFonts w:ascii="Noto Sans" w:hAnsi="Noto Sans" w:cs="Noto Sans"/>
                              <w:sz w:val="16"/>
                              <w:szCs w:val="16"/>
                            </w:rPr>
                            <w:t xml:space="preserve"> de </w:t>
                          </w:r>
                          <w:r w:rsidRPr="004C5CBC">
                            <w:rPr>
                              <w:rFonts w:ascii="Noto Sans" w:hAnsi="Noto Sans" w:cs="Noto Sans"/>
                              <w:b/>
                              <w:sz w:val="16"/>
                              <w:szCs w:val="16"/>
                            </w:rPr>
                            <w:fldChar w:fldCharType="begin"/>
                          </w:r>
                          <w:r w:rsidRPr="004C5CBC">
                            <w:rPr>
                              <w:rFonts w:ascii="Noto Sans" w:hAnsi="Noto Sans" w:cs="Noto Sans"/>
                              <w:b/>
                              <w:sz w:val="16"/>
                              <w:szCs w:val="16"/>
                            </w:rPr>
                            <w:instrText>NUMPAGES  \* Arabic  \* MERGEFORMAT</w:instrText>
                          </w:r>
                          <w:r w:rsidRPr="004C5CBC">
                            <w:rPr>
                              <w:rFonts w:ascii="Noto Sans" w:hAnsi="Noto Sans" w:cs="Noto Sans"/>
                              <w:b/>
                              <w:sz w:val="16"/>
                              <w:szCs w:val="16"/>
                            </w:rPr>
                            <w:fldChar w:fldCharType="separate"/>
                          </w:r>
                          <w:r>
                            <w:rPr>
                              <w:rFonts w:ascii="Noto Sans" w:hAnsi="Noto Sans" w:cs="Noto Sans"/>
                              <w:b/>
                              <w:noProof/>
                              <w:sz w:val="16"/>
                              <w:szCs w:val="16"/>
                            </w:rPr>
                            <w:t>6</w:t>
                          </w:r>
                          <w:r w:rsidRPr="004C5CBC">
                            <w:rPr>
                              <w:rFonts w:ascii="Noto Sans" w:hAnsi="Noto Sans" w:cs="Noto Sans"/>
                              <w:b/>
                              <w:sz w:val="16"/>
                              <w:szCs w:val="16"/>
                            </w:rPr>
                            <w:fldChar w:fldCharType="end"/>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94.7pt;margin-top:-43.45pt;width:391pt;height:4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" filled="f" stroked="f">
              <v:textbox inset="2.53958mm,1.2694mm,2.53958mm,1.2694mm">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08F8DBA2" w:rsidR="00206F46" w:rsidRPr="004C5CBC" w:rsidRDefault="004C5CBC" w:rsidP="00206F46">
                    <w:pPr>
                      <w:textDirection w:val="btLr"/>
                      <w:rPr>
                        <w:rFonts w:ascii="Noto Sans" w:hAnsi="Noto Sans" w:cs="Noto Sans"/>
                        <w:sz w:val="16"/>
                        <w:szCs w:val="16"/>
                      </w:rPr>
                    </w:pPr>
                    <w:r w:rsidRPr="004C5CBC">
                      <w:rPr>
                        <w:rFonts w:ascii="Noto Sans" w:hAnsi="Noto Sans" w:cs="Noto Sans"/>
                        <w:sz w:val="16"/>
                        <w:szCs w:val="16"/>
                      </w:rPr>
                      <w:t xml:space="preserve">                             </w:t>
                    </w:r>
                    <w:r>
                      <w:rPr>
                        <w:rFonts w:ascii="Noto Sans" w:hAnsi="Noto Sans" w:cs="Noto Sans"/>
                        <w:sz w:val="16"/>
                        <w:szCs w:val="16"/>
                      </w:rPr>
                      <w:t xml:space="preserve">       </w:t>
                    </w:r>
                    <w:r w:rsidRPr="004C5CBC">
                      <w:rPr>
                        <w:rFonts w:ascii="Noto Sans" w:hAnsi="Noto Sans" w:cs="Noto Sans"/>
                        <w:sz w:val="16"/>
                        <w:szCs w:val="16"/>
                      </w:rPr>
                      <w:t xml:space="preserve">   Página </w:t>
                    </w:r>
                    <w:r w:rsidRPr="004C5CBC">
                      <w:rPr>
                        <w:rFonts w:ascii="Noto Sans" w:hAnsi="Noto Sans" w:cs="Noto Sans"/>
                        <w:b/>
                        <w:sz w:val="16"/>
                        <w:szCs w:val="16"/>
                      </w:rPr>
                      <w:fldChar w:fldCharType="begin"/>
                    </w:r>
                    <w:r w:rsidRPr="004C5CBC">
                      <w:rPr>
                        <w:rFonts w:ascii="Noto Sans" w:hAnsi="Noto Sans" w:cs="Noto Sans"/>
                        <w:b/>
                        <w:sz w:val="16"/>
                        <w:szCs w:val="16"/>
                      </w:rPr>
                      <w:instrText>PAGE  \* Arabic  \* MERGEFORMAT</w:instrText>
                    </w:r>
                    <w:r w:rsidRPr="004C5CBC">
                      <w:rPr>
                        <w:rFonts w:ascii="Noto Sans" w:hAnsi="Noto Sans" w:cs="Noto Sans"/>
                        <w:b/>
                        <w:sz w:val="16"/>
                        <w:szCs w:val="16"/>
                      </w:rPr>
                      <w:fldChar w:fldCharType="separate"/>
                    </w:r>
                    <w:r>
                      <w:rPr>
                        <w:rFonts w:ascii="Noto Sans" w:hAnsi="Noto Sans" w:cs="Noto Sans"/>
                        <w:b/>
                        <w:noProof/>
                        <w:sz w:val="16"/>
                        <w:szCs w:val="16"/>
                      </w:rPr>
                      <w:t>1</w:t>
                    </w:r>
                    <w:r w:rsidRPr="004C5CBC">
                      <w:rPr>
                        <w:rFonts w:ascii="Noto Sans" w:hAnsi="Noto Sans" w:cs="Noto Sans"/>
                        <w:b/>
                        <w:sz w:val="16"/>
                        <w:szCs w:val="16"/>
                      </w:rPr>
                      <w:fldChar w:fldCharType="end"/>
                    </w:r>
                    <w:r w:rsidRPr="004C5CBC">
                      <w:rPr>
                        <w:rFonts w:ascii="Noto Sans" w:hAnsi="Noto Sans" w:cs="Noto Sans"/>
                        <w:sz w:val="16"/>
                        <w:szCs w:val="16"/>
                      </w:rPr>
                      <w:t xml:space="preserve"> de </w:t>
                    </w:r>
                    <w:r w:rsidRPr="004C5CBC">
                      <w:rPr>
                        <w:rFonts w:ascii="Noto Sans" w:hAnsi="Noto Sans" w:cs="Noto Sans"/>
                        <w:b/>
                        <w:sz w:val="16"/>
                        <w:szCs w:val="16"/>
                      </w:rPr>
                      <w:fldChar w:fldCharType="begin"/>
                    </w:r>
                    <w:r w:rsidRPr="004C5CBC">
                      <w:rPr>
                        <w:rFonts w:ascii="Noto Sans" w:hAnsi="Noto Sans" w:cs="Noto Sans"/>
                        <w:b/>
                        <w:sz w:val="16"/>
                        <w:szCs w:val="16"/>
                      </w:rPr>
                      <w:instrText>NUMPAGES  \* Arabic  \* MERGEFORMAT</w:instrText>
                    </w:r>
                    <w:r w:rsidRPr="004C5CBC">
                      <w:rPr>
                        <w:rFonts w:ascii="Noto Sans" w:hAnsi="Noto Sans" w:cs="Noto Sans"/>
                        <w:b/>
                        <w:sz w:val="16"/>
                        <w:szCs w:val="16"/>
                      </w:rPr>
                      <w:fldChar w:fldCharType="separate"/>
                    </w:r>
                    <w:r>
                      <w:rPr>
                        <w:rFonts w:ascii="Noto Sans" w:hAnsi="Noto Sans" w:cs="Noto Sans"/>
                        <w:b/>
                        <w:noProof/>
                        <w:sz w:val="16"/>
                        <w:szCs w:val="16"/>
                      </w:rPr>
                      <w:t>6</w:t>
                    </w:r>
                    <w:r w:rsidRPr="004C5CBC">
                      <w:rPr>
                        <w:rFonts w:ascii="Noto Sans" w:hAnsi="Noto Sans" w:cs="Noto Sans"/>
                        <w:b/>
                        <w:sz w:val="16"/>
                        <w:szCs w:val="16"/>
                      </w:rPr>
                      <w:fldChar w:fldCharType="end"/>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C6AC6" w14:textId="77777777" w:rsidR="004C5CBC" w:rsidRDefault="004C5C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33351" w14:textId="77777777" w:rsidR="006B5CD1" w:rsidRDefault="006B5CD1" w:rsidP="00A73D65">
      <w:r>
        <w:separator/>
      </w:r>
    </w:p>
  </w:footnote>
  <w:footnote w:type="continuationSeparator" w:id="0">
    <w:p w14:paraId="7B2C1EAA" w14:textId="77777777" w:rsidR="006B5CD1" w:rsidRDefault="006B5CD1"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B42E5" w14:textId="77777777" w:rsidR="004C5CBC" w:rsidRDefault="004C5C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006D997" w:rsidR="00A73D65" w:rsidRDefault="00562B26">
    <w:pPr>
      <w:pStyle w:val="Encabezado"/>
    </w:pPr>
    <w:r>
      <w:rPr>
        <w:noProof/>
      </w:rPr>
      <w:drawing>
        <wp:anchor distT="0" distB="0" distL="114300" distR="114300" simplePos="0" relativeHeight="251658240" behindDoc="1" locked="0" layoutInCell="1" allowOverlap="1" wp14:anchorId="097DBCCE" wp14:editId="4167391D">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9EFC" w14:textId="77777777" w:rsidR="004C5CBC" w:rsidRDefault="004C5C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D7D1F"/>
    <w:multiLevelType w:val="hybridMultilevel"/>
    <w:tmpl w:val="664606C4"/>
    <w:lvl w:ilvl="0" w:tplc="080A0017">
      <w:start w:val="2"/>
      <w:numFmt w:val="lowerLetter"/>
      <w:lvlText w:val="%1)"/>
      <w:lvlJc w:val="left"/>
      <w:pPr>
        <w:ind w:left="1353" w:hanging="360"/>
      </w:pPr>
    </w:lvl>
    <w:lvl w:ilvl="1" w:tplc="080A0019">
      <w:start w:val="1"/>
      <w:numFmt w:val="lowerLetter"/>
      <w:lvlText w:val="%2."/>
      <w:lvlJc w:val="left"/>
      <w:pPr>
        <w:ind w:left="2073" w:hanging="360"/>
      </w:pPr>
    </w:lvl>
    <w:lvl w:ilvl="2" w:tplc="080A001B">
      <w:start w:val="1"/>
      <w:numFmt w:val="lowerRoman"/>
      <w:lvlText w:val="%3."/>
      <w:lvlJc w:val="right"/>
      <w:pPr>
        <w:ind w:left="2793" w:hanging="180"/>
      </w:pPr>
    </w:lvl>
    <w:lvl w:ilvl="3" w:tplc="080A000F">
      <w:start w:val="1"/>
      <w:numFmt w:val="decimal"/>
      <w:lvlText w:val="%4."/>
      <w:lvlJc w:val="left"/>
      <w:pPr>
        <w:ind w:left="3513" w:hanging="360"/>
      </w:pPr>
    </w:lvl>
    <w:lvl w:ilvl="4" w:tplc="080A0019">
      <w:start w:val="1"/>
      <w:numFmt w:val="lowerLetter"/>
      <w:lvlText w:val="%5."/>
      <w:lvlJc w:val="left"/>
      <w:pPr>
        <w:ind w:left="4233" w:hanging="360"/>
      </w:pPr>
    </w:lvl>
    <w:lvl w:ilvl="5" w:tplc="080A001B">
      <w:start w:val="1"/>
      <w:numFmt w:val="lowerRoman"/>
      <w:lvlText w:val="%6."/>
      <w:lvlJc w:val="right"/>
      <w:pPr>
        <w:ind w:left="4953" w:hanging="180"/>
      </w:pPr>
    </w:lvl>
    <w:lvl w:ilvl="6" w:tplc="080A000F">
      <w:start w:val="1"/>
      <w:numFmt w:val="decimal"/>
      <w:lvlText w:val="%7."/>
      <w:lvlJc w:val="left"/>
      <w:pPr>
        <w:ind w:left="5673" w:hanging="360"/>
      </w:pPr>
    </w:lvl>
    <w:lvl w:ilvl="7" w:tplc="080A0019">
      <w:start w:val="1"/>
      <w:numFmt w:val="lowerLetter"/>
      <w:lvlText w:val="%8."/>
      <w:lvlJc w:val="left"/>
      <w:pPr>
        <w:ind w:left="6393" w:hanging="360"/>
      </w:pPr>
    </w:lvl>
    <w:lvl w:ilvl="8" w:tplc="080A001B">
      <w:start w:val="1"/>
      <w:numFmt w:val="lowerRoman"/>
      <w:lvlText w:val="%9."/>
      <w:lvlJc w:val="right"/>
      <w:pPr>
        <w:ind w:left="7113" w:hanging="180"/>
      </w:pPr>
    </w:lvl>
  </w:abstractNum>
  <w:abstractNum w:abstractNumId="1" w15:restartNumberingAfterBreak="0">
    <w:nsid w:val="409C68A7"/>
    <w:multiLevelType w:val="hybridMultilevel"/>
    <w:tmpl w:val="E8581B8C"/>
    <w:lvl w:ilvl="0" w:tplc="DC4872BA">
      <w:start w:val="1"/>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40A549FF"/>
    <w:multiLevelType w:val="hybridMultilevel"/>
    <w:tmpl w:val="8E34CF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421D21D1"/>
    <w:multiLevelType w:val="hybridMultilevel"/>
    <w:tmpl w:val="B7388202"/>
    <w:lvl w:ilvl="0" w:tplc="080A0017">
      <w:start w:val="5"/>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15526933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5713482">
    <w:abstractNumId w:val="1"/>
  </w:num>
  <w:num w:numId="3" w16cid:durableId="106806818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071406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643A3"/>
    <w:rsid w:val="0007666E"/>
    <w:rsid w:val="00095970"/>
    <w:rsid w:val="000A09C1"/>
    <w:rsid w:val="000A408C"/>
    <w:rsid w:val="000D799D"/>
    <w:rsid w:val="000E5D1C"/>
    <w:rsid w:val="00100A10"/>
    <w:rsid w:val="00132439"/>
    <w:rsid w:val="00133D12"/>
    <w:rsid w:val="00136BFD"/>
    <w:rsid w:val="00156A3E"/>
    <w:rsid w:val="00161740"/>
    <w:rsid w:val="0016179D"/>
    <w:rsid w:val="00180A38"/>
    <w:rsid w:val="00184325"/>
    <w:rsid w:val="001919F1"/>
    <w:rsid w:val="00195369"/>
    <w:rsid w:val="001A3D44"/>
    <w:rsid w:val="001B0164"/>
    <w:rsid w:val="001D3A7C"/>
    <w:rsid w:val="00206F46"/>
    <w:rsid w:val="00256B1D"/>
    <w:rsid w:val="0029542D"/>
    <w:rsid w:val="002E2142"/>
    <w:rsid w:val="002E4953"/>
    <w:rsid w:val="0030476A"/>
    <w:rsid w:val="00330DC8"/>
    <w:rsid w:val="0034181C"/>
    <w:rsid w:val="00363222"/>
    <w:rsid w:val="00370465"/>
    <w:rsid w:val="003803ED"/>
    <w:rsid w:val="003A5FC6"/>
    <w:rsid w:val="003D416E"/>
    <w:rsid w:val="003E1335"/>
    <w:rsid w:val="00477F45"/>
    <w:rsid w:val="004A4C4E"/>
    <w:rsid w:val="004B78A9"/>
    <w:rsid w:val="004C5CBC"/>
    <w:rsid w:val="004D146C"/>
    <w:rsid w:val="004E0D31"/>
    <w:rsid w:val="005164EF"/>
    <w:rsid w:val="00521A57"/>
    <w:rsid w:val="00521B5B"/>
    <w:rsid w:val="00533F57"/>
    <w:rsid w:val="00562B26"/>
    <w:rsid w:val="005774F4"/>
    <w:rsid w:val="005A2CDA"/>
    <w:rsid w:val="005C1A7C"/>
    <w:rsid w:val="005C7CAD"/>
    <w:rsid w:val="00626EE3"/>
    <w:rsid w:val="00631824"/>
    <w:rsid w:val="006322C1"/>
    <w:rsid w:val="00641214"/>
    <w:rsid w:val="00646F15"/>
    <w:rsid w:val="0067184B"/>
    <w:rsid w:val="006770F8"/>
    <w:rsid w:val="006811B4"/>
    <w:rsid w:val="006A3D09"/>
    <w:rsid w:val="006B5CD1"/>
    <w:rsid w:val="006C0425"/>
    <w:rsid w:val="006C2183"/>
    <w:rsid w:val="006C3B4E"/>
    <w:rsid w:val="006D1BC0"/>
    <w:rsid w:val="006E106C"/>
    <w:rsid w:val="006E3CC1"/>
    <w:rsid w:val="007421E3"/>
    <w:rsid w:val="0078195E"/>
    <w:rsid w:val="007B74AD"/>
    <w:rsid w:val="007D77D1"/>
    <w:rsid w:val="007E5888"/>
    <w:rsid w:val="007F1DB3"/>
    <w:rsid w:val="007F5E00"/>
    <w:rsid w:val="00806FDB"/>
    <w:rsid w:val="00831EE7"/>
    <w:rsid w:val="00834146"/>
    <w:rsid w:val="008F2306"/>
    <w:rsid w:val="008F7E9B"/>
    <w:rsid w:val="0090412A"/>
    <w:rsid w:val="009066A7"/>
    <w:rsid w:val="009068C0"/>
    <w:rsid w:val="00907F1C"/>
    <w:rsid w:val="00932C27"/>
    <w:rsid w:val="00937C98"/>
    <w:rsid w:val="00942415"/>
    <w:rsid w:val="00942628"/>
    <w:rsid w:val="009439B2"/>
    <w:rsid w:val="009446DD"/>
    <w:rsid w:val="009714F0"/>
    <w:rsid w:val="00987D2D"/>
    <w:rsid w:val="009C12D6"/>
    <w:rsid w:val="009C30A1"/>
    <w:rsid w:val="009D071C"/>
    <w:rsid w:val="009F2BA1"/>
    <w:rsid w:val="00A04795"/>
    <w:rsid w:val="00A07674"/>
    <w:rsid w:val="00A301D7"/>
    <w:rsid w:val="00A73D65"/>
    <w:rsid w:val="00A815F9"/>
    <w:rsid w:val="00AE1B7C"/>
    <w:rsid w:val="00B0589E"/>
    <w:rsid w:val="00B3608B"/>
    <w:rsid w:val="00B5717A"/>
    <w:rsid w:val="00B72D63"/>
    <w:rsid w:val="00B72D65"/>
    <w:rsid w:val="00B87C85"/>
    <w:rsid w:val="00BB1DB9"/>
    <w:rsid w:val="00BB21A6"/>
    <w:rsid w:val="00BB2DFF"/>
    <w:rsid w:val="00BC43BD"/>
    <w:rsid w:val="00BF29F6"/>
    <w:rsid w:val="00C02E98"/>
    <w:rsid w:val="00C13382"/>
    <w:rsid w:val="00C14B9F"/>
    <w:rsid w:val="00C208B6"/>
    <w:rsid w:val="00C2103A"/>
    <w:rsid w:val="00C23B9E"/>
    <w:rsid w:val="00C2576D"/>
    <w:rsid w:val="00C279A3"/>
    <w:rsid w:val="00C30849"/>
    <w:rsid w:val="00C344AE"/>
    <w:rsid w:val="00C364E9"/>
    <w:rsid w:val="00C465FE"/>
    <w:rsid w:val="00C67047"/>
    <w:rsid w:val="00C768E8"/>
    <w:rsid w:val="00C7779D"/>
    <w:rsid w:val="00C90CED"/>
    <w:rsid w:val="00C918A3"/>
    <w:rsid w:val="00CB7D4F"/>
    <w:rsid w:val="00CE3E99"/>
    <w:rsid w:val="00CF41D4"/>
    <w:rsid w:val="00D1354D"/>
    <w:rsid w:val="00D1367D"/>
    <w:rsid w:val="00D20C38"/>
    <w:rsid w:val="00D53D98"/>
    <w:rsid w:val="00D61FB3"/>
    <w:rsid w:val="00D8112D"/>
    <w:rsid w:val="00D84E05"/>
    <w:rsid w:val="00D97FD6"/>
    <w:rsid w:val="00DA037A"/>
    <w:rsid w:val="00DA1B19"/>
    <w:rsid w:val="00DB53A4"/>
    <w:rsid w:val="00E141DE"/>
    <w:rsid w:val="00E155A4"/>
    <w:rsid w:val="00E61167"/>
    <w:rsid w:val="00E93867"/>
    <w:rsid w:val="00E95A05"/>
    <w:rsid w:val="00EB407F"/>
    <w:rsid w:val="00EB69EC"/>
    <w:rsid w:val="00EC7CF4"/>
    <w:rsid w:val="00EE053F"/>
    <w:rsid w:val="00EE6B41"/>
    <w:rsid w:val="00F22720"/>
    <w:rsid w:val="00F24915"/>
    <w:rsid w:val="00F36170"/>
    <w:rsid w:val="00F401F9"/>
    <w:rsid w:val="00F50932"/>
    <w:rsid w:val="00F745B2"/>
    <w:rsid w:val="00F8142D"/>
    <w:rsid w:val="00F92049"/>
    <w:rsid w:val="00F945F2"/>
    <w:rsid w:val="00FA1218"/>
    <w:rsid w:val="00FB1844"/>
    <w:rsid w:val="00FB2A39"/>
    <w:rsid w:val="00FB3F6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27E0EA82-58B1-4A0B-81A5-E6E474FA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C77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qFormat/>
    <w:locked/>
    <w:rsid w:val="00521B5B"/>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List Paragraph2,リスト段落1"/>
    <w:basedOn w:val="Normal"/>
    <w:link w:val="PrrafodelistaCar"/>
    <w:uiPriority w:val="34"/>
    <w:qFormat/>
    <w:rsid w:val="00521B5B"/>
    <w:pPr>
      <w:spacing w:after="160" w:line="256" w:lineRule="auto"/>
      <w:ind w:left="720"/>
      <w:contextualSpacing/>
    </w:pPr>
    <w:rPr>
      <w:rFonts w:eastAsia="Calibri"/>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116293">
      <w:bodyDiv w:val="1"/>
      <w:marLeft w:val="0"/>
      <w:marRight w:val="0"/>
      <w:marTop w:val="0"/>
      <w:marBottom w:val="0"/>
      <w:divBdr>
        <w:top w:val="none" w:sz="0" w:space="0" w:color="auto"/>
        <w:left w:val="none" w:sz="0" w:space="0" w:color="auto"/>
        <w:bottom w:val="none" w:sz="0" w:space="0" w:color="auto"/>
        <w:right w:val="none" w:sz="0" w:space="0" w:color="auto"/>
      </w:divBdr>
    </w:div>
    <w:div w:id="178068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5C3D3D-8606-4C05-A4CC-CA1F6D3A5DA1}">
  <ds:schemaRefs>
    <ds:schemaRef ds:uri="http://schemas.openxmlformats.org/officeDocument/2006/bibliography"/>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1490</Words>
  <Characters>8199</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Adriana Stephanie Luna Millan</cp:lastModifiedBy>
  <cp:revision>2</cp:revision>
  <cp:lastPrinted>2025-01-08T20:58:00Z</cp:lastPrinted>
  <dcterms:created xsi:type="dcterms:W3CDTF">2025-09-03T23:59:00Z</dcterms:created>
  <dcterms:modified xsi:type="dcterms:W3CDTF">2025-09-03T23:59:00Z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